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FF89" w14:textId="77777777" w:rsidR="00480CF1" w:rsidRDefault="003C10CF">
      <w:pPr>
        <w:pStyle w:val="Corpsdetexte"/>
        <w:spacing w:before="2"/>
        <w:rPr>
          <w:sz w:val="16"/>
        </w:rPr>
      </w:pPr>
      <w:r>
        <w:rPr>
          <w:noProof/>
        </w:rPr>
        <mc:AlternateContent>
          <mc:Choice Requires="wps">
            <w:drawing>
              <wp:anchor distT="0" distB="0" distL="0" distR="0" simplePos="0" relativeHeight="487587840" behindDoc="1" locked="0" layoutInCell="1" allowOverlap="1" wp14:anchorId="23F58164" wp14:editId="127B6DD6">
                <wp:simplePos x="0" y="0"/>
                <wp:positionH relativeFrom="page">
                  <wp:posOffset>603885</wp:posOffset>
                </wp:positionH>
                <wp:positionV relativeFrom="paragraph">
                  <wp:posOffset>133985</wp:posOffset>
                </wp:positionV>
                <wp:extent cx="6694805" cy="795020"/>
                <wp:effectExtent l="0" t="0" r="10795" b="2413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795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AFA5B" w14:textId="77777777" w:rsidR="00245F64" w:rsidRDefault="002A3F79" w:rsidP="00A22E18">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DC4070">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A22E18">
                              <w:rPr>
                                <w:rFonts w:ascii="Arial" w:hAnsi="Arial" w:cs="Arial"/>
                                <w:b/>
                                <w:sz w:val="28"/>
                              </w:rPr>
                              <w:t>SOCIAL TERRITORIAL</w:t>
                            </w:r>
                            <w:r w:rsidRPr="00245F64">
                              <w:rPr>
                                <w:rFonts w:ascii="Arial" w:hAnsi="Arial" w:cs="Arial"/>
                                <w:b/>
                                <w:sz w:val="28"/>
                              </w:rPr>
                              <w:t xml:space="preserve"> DEPARTEMENTAL</w:t>
                            </w:r>
                          </w:p>
                          <w:p w14:paraId="6FF366B9" w14:textId="34AC548F" w:rsidR="00245F64" w:rsidRPr="00245F64" w:rsidRDefault="00EC497C" w:rsidP="00A22E18">
                            <w:pPr>
                              <w:spacing w:before="57"/>
                              <w:ind w:left="3741" w:right="1136" w:hanging="1536"/>
                              <w:jc w:val="center"/>
                              <w:rPr>
                                <w:rFonts w:ascii="Arial" w:hAnsi="Arial" w:cs="Arial"/>
                                <w:b/>
                                <w:sz w:val="28"/>
                              </w:rPr>
                            </w:pPr>
                            <w:r>
                              <w:rPr>
                                <w:rFonts w:ascii="Arial" w:hAnsi="Arial" w:cs="Arial"/>
                                <w:b/>
                                <w:sz w:val="28"/>
                              </w:rPr>
                              <w:t>INDEMNITE DE MANIEMENT DE FONDS</w:t>
                            </w:r>
                            <w:r w:rsidR="00F522EC">
                              <w:rPr>
                                <w:rFonts w:ascii="Arial" w:hAnsi="Arial" w:cs="Arial"/>
                                <w:b/>
                                <w:sz w:val="28"/>
                              </w:rPr>
                              <w:t xml:space="preserve"> DES REGIES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58164" id="_x0000_t202" coordsize="21600,21600" o:spt="202" path="m,l,21600r21600,l21600,xe">
                <v:stroke joinstyle="miter"/>
                <v:path gradientshapeok="t" o:connecttype="rect"/>
              </v:shapetype>
              <v:shape id="Text Box 4" o:spid="_x0000_s1026" type="#_x0000_t202" style="position:absolute;margin-left:47.55pt;margin-top:10.55pt;width:527.15pt;height:6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" filled="f" strokeweight=".48pt">
                <v:textbox inset="0,0,0,0">
                  <w:txbxContent>
                    <w:p w14:paraId="72CAFA5B" w14:textId="77777777" w:rsidR="00245F64" w:rsidRDefault="002A3F79" w:rsidP="00A22E18">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DC4070">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A22E18">
                        <w:rPr>
                          <w:rFonts w:ascii="Arial" w:hAnsi="Arial" w:cs="Arial"/>
                          <w:b/>
                          <w:sz w:val="28"/>
                        </w:rPr>
                        <w:t>SOCIAL TERRITORIAL</w:t>
                      </w:r>
                      <w:r w:rsidRPr="00245F64">
                        <w:rPr>
                          <w:rFonts w:ascii="Arial" w:hAnsi="Arial" w:cs="Arial"/>
                          <w:b/>
                          <w:sz w:val="28"/>
                        </w:rPr>
                        <w:t xml:space="preserve"> DEPARTEMENTAL</w:t>
                      </w:r>
                    </w:p>
                    <w:p w14:paraId="6FF366B9" w14:textId="34AC548F" w:rsidR="00245F64" w:rsidRPr="00245F64" w:rsidRDefault="00EC497C" w:rsidP="00A22E18">
                      <w:pPr>
                        <w:spacing w:before="57"/>
                        <w:ind w:left="3741" w:right="1136" w:hanging="1536"/>
                        <w:jc w:val="center"/>
                        <w:rPr>
                          <w:rFonts w:ascii="Arial" w:hAnsi="Arial" w:cs="Arial"/>
                          <w:b/>
                          <w:sz w:val="28"/>
                        </w:rPr>
                      </w:pPr>
                      <w:r>
                        <w:rPr>
                          <w:rFonts w:ascii="Arial" w:hAnsi="Arial" w:cs="Arial"/>
                          <w:b/>
                          <w:sz w:val="28"/>
                        </w:rPr>
                        <w:t>INDEMNITE DE MANIEMENT DE FONDS</w:t>
                      </w:r>
                      <w:r w:rsidR="00F522EC">
                        <w:rPr>
                          <w:rFonts w:ascii="Arial" w:hAnsi="Arial" w:cs="Arial"/>
                          <w:b/>
                          <w:sz w:val="28"/>
                        </w:rPr>
                        <w:t xml:space="preserve"> DES REGIES</w:t>
                      </w:r>
                    </w:p>
                  </w:txbxContent>
                </v:textbox>
                <w10:wrap type="topAndBottom" anchorx="page"/>
              </v:shape>
            </w:pict>
          </mc:Fallback>
        </mc:AlternateContent>
      </w:r>
    </w:p>
    <w:p w14:paraId="3FF43F1B" w14:textId="77777777" w:rsidR="00EC497C" w:rsidRDefault="00EC497C">
      <w:pPr>
        <w:pStyle w:val="Titre2"/>
        <w:tabs>
          <w:tab w:val="left" w:pos="8712"/>
        </w:tabs>
        <w:spacing w:before="147"/>
        <w:ind w:left="923"/>
        <w:rPr>
          <w:rFonts w:ascii="Arial" w:hAnsi="Arial" w:cs="Arial"/>
        </w:rPr>
      </w:pPr>
    </w:p>
    <w:p w14:paraId="673BDF38" w14:textId="69AD7F29" w:rsidR="00480CF1" w:rsidRPr="00245F64" w:rsidRDefault="00A22E18">
      <w:pPr>
        <w:pStyle w:val="Titre2"/>
        <w:tabs>
          <w:tab w:val="left" w:pos="8712"/>
        </w:tabs>
        <w:spacing w:before="147"/>
        <w:ind w:left="923"/>
        <w:rPr>
          <w:rFonts w:ascii="Arial" w:hAnsi="Arial" w:cs="Arial"/>
        </w:rPr>
      </w:pPr>
      <w:r>
        <w:rPr>
          <w:rFonts w:ascii="Arial" w:hAnsi="Arial" w:cs="Arial"/>
        </w:rPr>
        <w:t>Mise en place</w:t>
      </w:r>
      <w:r w:rsidR="002A3F79" w:rsidRPr="00245F64">
        <w:rPr>
          <w:rFonts w:ascii="Arial" w:hAnsi="Arial" w:cs="Arial"/>
          <w:spacing w:val="-1"/>
        </w:rPr>
        <w:t xml:space="preserve"> </w:t>
      </w:r>
      <w:r w:rsidR="002A3F79" w:rsidRPr="00245F64">
        <w:rPr>
          <w:rFonts w:ascii="Arial" w:hAnsi="Arial" w:cs="Arial"/>
        </w:rPr>
        <w:t></w:t>
      </w:r>
      <w:r w:rsidR="002A3F79" w:rsidRPr="00245F64">
        <w:rPr>
          <w:rFonts w:ascii="Arial" w:hAnsi="Arial" w:cs="Arial"/>
        </w:rPr>
        <w:tab/>
        <w:t>Modification</w:t>
      </w:r>
      <w:r>
        <w:rPr>
          <w:rFonts w:ascii="Arial" w:hAnsi="Arial" w:cs="Arial"/>
        </w:rPr>
        <w:t xml:space="preserve"> </w:t>
      </w:r>
      <w:r w:rsidR="002A3F79" w:rsidRPr="00245F64">
        <w:rPr>
          <w:rFonts w:ascii="Arial" w:hAnsi="Arial" w:cs="Arial"/>
        </w:rPr>
        <w:t></w:t>
      </w:r>
    </w:p>
    <w:p w14:paraId="7EEF46E0" w14:textId="77777777" w:rsidR="00245F64" w:rsidRDefault="00245F64" w:rsidP="00245F64">
      <w:pPr>
        <w:pStyle w:val="Corpsdetexte"/>
        <w:tabs>
          <w:tab w:val="left" w:pos="10915"/>
        </w:tabs>
        <w:spacing w:after="120" w:line="240" w:lineRule="exact"/>
        <w:ind w:left="851" w:right="635"/>
        <w:jc w:val="both"/>
        <w:rPr>
          <w:rFonts w:ascii="Arial" w:hAnsi="Arial" w:cs="Arial"/>
        </w:rPr>
      </w:pPr>
    </w:p>
    <w:p w14:paraId="3C7EEFEB" w14:textId="77777777" w:rsidR="000B6789" w:rsidRPr="000B6789" w:rsidRDefault="000B6789" w:rsidP="00245F64">
      <w:pPr>
        <w:pStyle w:val="Corpsdetexte"/>
        <w:tabs>
          <w:tab w:val="left" w:pos="10915"/>
        </w:tabs>
        <w:spacing w:after="120" w:line="240" w:lineRule="exact"/>
        <w:ind w:left="851" w:right="635"/>
        <w:jc w:val="both"/>
        <w:rPr>
          <w:rFonts w:ascii="Arial" w:hAnsi="Arial" w:cs="Arial"/>
          <w:b/>
          <w:bCs/>
          <w:u w:val="single"/>
        </w:rPr>
      </w:pPr>
      <w:r w:rsidRPr="000B6789">
        <w:rPr>
          <w:rFonts w:ascii="Arial" w:hAnsi="Arial" w:cs="Arial"/>
          <w:b/>
          <w:bCs/>
          <w:u w:val="single"/>
        </w:rPr>
        <w:t>Références juridiques :</w:t>
      </w:r>
    </w:p>
    <w:p w14:paraId="6F6A5BF9" w14:textId="3645D484" w:rsidR="00EC497C" w:rsidRPr="00EC497C" w:rsidRDefault="00EC497C" w:rsidP="00EC497C">
      <w:pPr>
        <w:pStyle w:val="Default"/>
        <w:numPr>
          <w:ilvl w:val="0"/>
          <w:numId w:val="2"/>
        </w:numPr>
        <w:ind w:left="1208" w:right="815" w:hanging="357"/>
        <w:jc w:val="both"/>
        <w:rPr>
          <w:rFonts w:ascii="Arial" w:hAnsi="Arial" w:cs="Arial"/>
          <w:i/>
          <w:iCs/>
          <w:color w:val="000000" w:themeColor="text1"/>
          <w:sz w:val="22"/>
          <w:szCs w:val="22"/>
        </w:rPr>
      </w:pPr>
      <w:r w:rsidRPr="00EC497C">
        <w:rPr>
          <w:rFonts w:ascii="Arial" w:hAnsi="Arial" w:cs="Arial"/>
          <w:i/>
          <w:iCs/>
          <w:sz w:val="22"/>
          <w:szCs w:val="22"/>
        </w:rPr>
        <w:t>Décret n° 2022-1605 du 22 décembre 2022 portant application de l'ordonnance n° 2022-408 du 23 mars 2022 relative au régime de responsabilité financière des gestionnaires publics et modifiant diverses dispositions relatives aux comptables publics</w:t>
      </w:r>
      <w:r>
        <w:rPr>
          <w:rFonts w:ascii="Arial" w:hAnsi="Arial" w:cs="Arial"/>
          <w:i/>
          <w:iCs/>
          <w:sz w:val="22"/>
          <w:szCs w:val="22"/>
        </w:rPr>
        <w:t>,</w:t>
      </w:r>
    </w:p>
    <w:p w14:paraId="23E935FF" w14:textId="05DD60AC" w:rsidR="00F522EC" w:rsidRPr="00F522EC" w:rsidRDefault="00EC497C" w:rsidP="00F522EC">
      <w:pPr>
        <w:pStyle w:val="Default"/>
        <w:numPr>
          <w:ilvl w:val="0"/>
          <w:numId w:val="2"/>
        </w:numPr>
        <w:ind w:left="1208" w:right="815" w:hanging="357"/>
        <w:jc w:val="both"/>
        <w:rPr>
          <w:rFonts w:ascii="Arial" w:hAnsi="Arial" w:cs="Arial"/>
          <w:i/>
          <w:iCs/>
          <w:color w:val="000000" w:themeColor="text1"/>
          <w:sz w:val="22"/>
          <w:szCs w:val="22"/>
        </w:rPr>
      </w:pPr>
      <w:r w:rsidRPr="00EC497C">
        <w:rPr>
          <w:rFonts w:ascii="Arial" w:hAnsi="Arial" w:cs="Arial"/>
          <w:i/>
          <w:iCs/>
          <w:sz w:val="22"/>
          <w:szCs w:val="22"/>
        </w:rPr>
        <w:t>Arrêté du 21 janvier 2025 complète la liste des indemnités pouvant être cumulées avec le RIFSEEP (modification de l’</w:t>
      </w:r>
      <w:hyperlink r:id="rId8" w:history="1">
        <w:r w:rsidRPr="00EC497C">
          <w:rPr>
            <w:rStyle w:val="Lienhypertexte"/>
            <w:rFonts w:ascii="Arial" w:hAnsi="Arial" w:cs="Arial"/>
            <w:i/>
            <w:iCs/>
            <w:sz w:val="22"/>
            <w:szCs w:val="22"/>
          </w:rPr>
          <w:t>arrêté du 27 août 2015</w:t>
        </w:r>
      </w:hyperlink>
      <w:r w:rsidRPr="00EC497C">
        <w:rPr>
          <w:rFonts w:ascii="Arial" w:hAnsi="Arial" w:cs="Arial"/>
          <w:i/>
          <w:iCs/>
          <w:sz w:val="22"/>
          <w:szCs w:val="22"/>
        </w:rPr>
        <w:t xml:space="preserve"> pris en application de l'article 5 du décret n° 2014-513 du 20 mai 2014 portant création d'un RIFSEEP dans la fonction publique de l'Etat)</w:t>
      </w:r>
      <w:r w:rsidR="00F522EC">
        <w:rPr>
          <w:rFonts w:ascii="Arial" w:hAnsi="Arial" w:cs="Arial"/>
          <w:i/>
          <w:iCs/>
          <w:sz w:val="22"/>
          <w:szCs w:val="22"/>
        </w:rPr>
        <w:t>,</w:t>
      </w:r>
    </w:p>
    <w:p w14:paraId="774A361B" w14:textId="6EA53BD5" w:rsidR="00F522EC" w:rsidRPr="00F522EC" w:rsidRDefault="00F522EC" w:rsidP="00F522EC">
      <w:pPr>
        <w:pStyle w:val="Default"/>
        <w:numPr>
          <w:ilvl w:val="0"/>
          <w:numId w:val="2"/>
        </w:numPr>
        <w:ind w:left="1208" w:right="815" w:hanging="357"/>
        <w:jc w:val="both"/>
        <w:rPr>
          <w:rFonts w:ascii="Arial" w:hAnsi="Arial" w:cs="Arial"/>
          <w:i/>
          <w:iCs/>
          <w:color w:val="000000" w:themeColor="text1"/>
          <w:sz w:val="22"/>
          <w:szCs w:val="22"/>
        </w:rPr>
      </w:pPr>
      <w:r>
        <w:rPr>
          <w:rFonts w:ascii="Arial" w:hAnsi="Arial" w:cs="Arial"/>
          <w:i/>
          <w:iCs/>
          <w:sz w:val="22"/>
          <w:szCs w:val="22"/>
        </w:rPr>
        <w:t xml:space="preserve">Arrêté </w:t>
      </w:r>
      <w:r w:rsidRPr="00F522EC">
        <w:rPr>
          <w:rFonts w:ascii="Arial" w:hAnsi="Arial" w:cs="Arial"/>
          <w:i/>
          <w:iCs/>
          <w:sz w:val="22"/>
          <w:szCs w:val="22"/>
        </w:rPr>
        <w:t>du 28 mai 1993 relatif aux taux de l'indemnité de responsabilité susceptible d'être allouée aux régisseurs d'avances et aux régisseurs de recettes relevant des organismes publics et montant du cautionnement imposé à ces agents</w:t>
      </w:r>
      <w:r>
        <w:rPr>
          <w:rFonts w:ascii="Arial" w:hAnsi="Arial" w:cs="Arial"/>
          <w:i/>
          <w:iCs/>
          <w:sz w:val="22"/>
          <w:szCs w:val="22"/>
        </w:rPr>
        <w:t>.</w:t>
      </w:r>
    </w:p>
    <w:p w14:paraId="69909307" w14:textId="77777777" w:rsidR="00F522EC" w:rsidRPr="00EC497C" w:rsidRDefault="00F522EC" w:rsidP="00F522EC">
      <w:pPr>
        <w:pStyle w:val="Default"/>
        <w:ind w:left="1208" w:right="815"/>
        <w:jc w:val="both"/>
        <w:rPr>
          <w:rFonts w:ascii="Arial" w:hAnsi="Arial" w:cs="Arial"/>
          <w:i/>
          <w:iCs/>
          <w:color w:val="000000" w:themeColor="text1"/>
          <w:sz w:val="22"/>
          <w:szCs w:val="22"/>
        </w:rPr>
      </w:pPr>
    </w:p>
    <w:p w14:paraId="555B3318" w14:textId="77777777" w:rsidR="00EC497C" w:rsidRPr="00EC497C" w:rsidRDefault="00EC497C" w:rsidP="00EC497C">
      <w:pPr>
        <w:pStyle w:val="Default"/>
        <w:ind w:left="1208"/>
        <w:rPr>
          <w:rFonts w:ascii="Arial" w:hAnsi="Arial" w:cs="Arial"/>
          <w:i/>
          <w:iCs/>
          <w:color w:val="000000" w:themeColor="text1"/>
          <w:sz w:val="22"/>
          <w:szCs w:val="22"/>
        </w:rPr>
      </w:pPr>
    </w:p>
    <w:p w14:paraId="301F7009" w14:textId="77777777" w:rsidR="00A22E18" w:rsidRPr="00A22E18" w:rsidRDefault="00A22E18" w:rsidP="00EC497C">
      <w:pPr>
        <w:tabs>
          <w:tab w:val="left" w:pos="10915"/>
        </w:tabs>
        <w:spacing w:line="360" w:lineRule="auto"/>
        <w:ind w:right="815"/>
        <w:jc w:val="both"/>
        <w:rPr>
          <w:rFonts w:ascii="Arial" w:eastAsia="Marianne" w:hAnsi="Arial" w:cs="Arial"/>
        </w:rPr>
      </w:pPr>
    </w:p>
    <w:p w14:paraId="4119CBBB" w14:textId="77777777" w:rsidR="00480CF1" w:rsidRPr="00463CD9" w:rsidRDefault="002A3F79" w:rsidP="00463CD9">
      <w:pPr>
        <w:tabs>
          <w:tab w:val="left" w:pos="10915"/>
        </w:tabs>
        <w:spacing w:line="360" w:lineRule="auto"/>
        <w:ind w:left="851" w:right="815"/>
        <w:rPr>
          <w:rFonts w:ascii="Arial" w:hAnsi="Arial" w:cs="Arial"/>
        </w:rPr>
      </w:pPr>
      <w:r w:rsidRPr="00245F64">
        <w:rPr>
          <w:rFonts w:ascii="Arial" w:hAnsi="Arial" w:cs="Arial"/>
          <w:b/>
        </w:rPr>
        <w:t>Collectivité</w:t>
      </w:r>
      <w:r w:rsidR="00463CD9">
        <w:rPr>
          <w:rFonts w:ascii="Arial" w:hAnsi="Arial" w:cs="Arial"/>
        </w:rPr>
        <w:t> : ……………………………………………………………………………………………….</w:t>
      </w:r>
    </w:p>
    <w:p w14:paraId="15A9A332" w14:textId="77777777" w:rsidR="00463CD9" w:rsidRDefault="002A3F79" w:rsidP="00463CD9">
      <w:pPr>
        <w:tabs>
          <w:tab w:val="left" w:pos="3715"/>
          <w:tab w:val="left" w:pos="6358"/>
          <w:tab w:val="left" w:pos="6633"/>
          <w:tab w:val="left" w:pos="10105"/>
          <w:tab w:val="left" w:pos="10164"/>
          <w:tab w:val="left" w:pos="10915"/>
        </w:tabs>
        <w:spacing w:line="360" w:lineRule="auto"/>
        <w:ind w:left="851" w:right="1379"/>
        <w:jc w:val="both"/>
        <w:rPr>
          <w:rFonts w:ascii="Arial" w:hAnsi="Arial" w:cs="Arial"/>
          <w:w w:val="110"/>
        </w:rPr>
      </w:pPr>
      <w:r w:rsidRPr="00245F64">
        <w:rPr>
          <w:rFonts w:ascii="Arial" w:hAnsi="Arial" w:cs="Arial"/>
          <w:w w:val="110"/>
        </w:rPr>
        <w:t>Courriel</w:t>
      </w:r>
      <w:r w:rsidR="00463CD9">
        <w:rPr>
          <w:rFonts w:ascii="Arial" w:hAnsi="Arial" w:cs="Arial"/>
          <w:w w:val="110"/>
        </w:rPr>
        <w:t> : ………………………………………………………………………………………….</w:t>
      </w:r>
    </w:p>
    <w:p w14:paraId="27E67BF9" w14:textId="77777777" w:rsidR="00480CF1" w:rsidRDefault="002A3F79" w:rsidP="00463CD9">
      <w:pPr>
        <w:tabs>
          <w:tab w:val="left" w:pos="3715"/>
          <w:tab w:val="left" w:pos="6358"/>
          <w:tab w:val="left" w:pos="6633"/>
          <w:tab w:val="left" w:pos="10105"/>
          <w:tab w:val="left" w:pos="10164"/>
          <w:tab w:val="left" w:pos="10915"/>
        </w:tabs>
        <w:spacing w:line="360" w:lineRule="auto"/>
        <w:ind w:left="851" w:right="1379"/>
        <w:jc w:val="both"/>
        <w:rPr>
          <w:sz w:val="24"/>
          <w:u w:val="single"/>
        </w:rPr>
      </w:pPr>
      <w:r w:rsidRPr="00245F64">
        <w:rPr>
          <w:rFonts w:ascii="Arial" w:hAnsi="Arial" w:cs="Arial"/>
        </w:rPr>
        <w:t>Personne</w:t>
      </w:r>
      <w:r w:rsidRPr="00245F64">
        <w:rPr>
          <w:rFonts w:ascii="Arial" w:hAnsi="Arial" w:cs="Arial"/>
          <w:spacing w:val="-3"/>
        </w:rPr>
        <w:t xml:space="preserve"> </w:t>
      </w:r>
      <w:r w:rsidRPr="00245F64">
        <w:rPr>
          <w:rFonts w:ascii="Arial" w:hAnsi="Arial" w:cs="Arial"/>
        </w:rPr>
        <w:t>en</w:t>
      </w:r>
      <w:r w:rsidRPr="00245F64">
        <w:rPr>
          <w:rFonts w:ascii="Arial" w:hAnsi="Arial" w:cs="Arial"/>
          <w:spacing w:val="1"/>
        </w:rPr>
        <w:t xml:space="preserve"> </w:t>
      </w:r>
      <w:r w:rsidRPr="00245F64">
        <w:rPr>
          <w:rFonts w:ascii="Arial" w:hAnsi="Arial" w:cs="Arial"/>
        </w:rPr>
        <w:t>charge</w:t>
      </w:r>
      <w:r w:rsidRPr="00245F64">
        <w:rPr>
          <w:rFonts w:ascii="Arial" w:hAnsi="Arial" w:cs="Arial"/>
          <w:spacing w:val="1"/>
        </w:rPr>
        <w:t xml:space="preserve"> </w:t>
      </w:r>
      <w:r w:rsidRPr="00245F64">
        <w:rPr>
          <w:rFonts w:ascii="Arial" w:hAnsi="Arial" w:cs="Arial"/>
        </w:rPr>
        <w:t>du</w:t>
      </w:r>
      <w:r w:rsidRPr="00245F64">
        <w:rPr>
          <w:rFonts w:ascii="Arial" w:hAnsi="Arial" w:cs="Arial"/>
          <w:spacing w:val="2"/>
        </w:rPr>
        <w:t xml:space="preserve"> </w:t>
      </w:r>
      <w:r w:rsidRPr="00245F64">
        <w:rPr>
          <w:rFonts w:ascii="Arial" w:hAnsi="Arial" w:cs="Arial"/>
        </w:rPr>
        <w:t>dossier</w:t>
      </w:r>
      <w:r w:rsidR="00463CD9">
        <w:rPr>
          <w:spacing w:val="-3"/>
          <w:sz w:val="24"/>
        </w:rPr>
        <w:t> : ……………………………………………………………………</w:t>
      </w:r>
    </w:p>
    <w:p w14:paraId="7C80FA9F" w14:textId="11BE3EF3"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4A819A9D" w14:textId="6D4B11E1"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Nombre de régies et détails des régies concernées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2787"/>
        <w:gridCol w:w="1843"/>
      </w:tblGrid>
      <w:tr w:rsidR="00EC497C" w:rsidRPr="00304997" w14:paraId="48556CF1" w14:textId="77777777" w:rsidTr="00EC497C">
        <w:trPr>
          <w:jc w:val="center"/>
        </w:trPr>
        <w:tc>
          <w:tcPr>
            <w:tcW w:w="5146" w:type="dxa"/>
            <w:shd w:val="clear" w:color="auto" w:fill="auto"/>
            <w:vAlign w:val="center"/>
          </w:tcPr>
          <w:p w14:paraId="61A67528" w14:textId="6481521E" w:rsidR="00EC497C" w:rsidRPr="00304997" w:rsidRDefault="00EC497C" w:rsidP="0050389A">
            <w:pPr>
              <w:tabs>
                <w:tab w:val="left" w:pos="3150"/>
              </w:tabs>
              <w:spacing w:before="120"/>
              <w:ind w:right="-109"/>
              <w:jc w:val="center"/>
              <w:rPr>
                <w:b/>
                <w:color w:val="002060"/>
                <w:sz w:val="24"/>
                <w:szCs w:val="24"/>
              </w:rPr>
            </w:pPr>
            <w:r>
              <w:rPr>
                <w:b/>
                <w:color w:val="002060"/>
                <w:sz w:val="24"/>
                <w:szCs w:val="24"/>
              </w:rPr>
              <w:t>Nom de la régie</w:t>
            </w:r>
          </w:p>
        </w:tc>
        <w:tc>
          <w:tcPr>
            <w:tcW w:w="2787" w:type="dxa"/>
            <w:shd w:val="clear" w:color="auto" w:fill="auto"/>
            <w:vAlign w:val="center"/>
          </w:tcPr>
          <w:p w14:paraId="1949F559" w14:textId="77777777" w:rsidR="00EC497C" w:rsidRPr="00304997" w:rsidRDefault="00EC497C" w:rsidP="0050389A">
            <w:pPr>
              <w:jc w:val="center"/>
              <w:rPr>
                <w:b/>
                <w:color w:val="002060"/>
                <w:sz w:val="24"/>
                <w:szCs w:val="24"/>
              </w:rPr>
            </w:pPr>
            <w:r w:rsidRPr="00304997">
              <w:rPr>
                <w:b/>
                <w:color w:val="002060"/>
                <w:sz w:val="24"/>
                <w:szCs w:val="24"/>
              </w:rPr>
              <w:t>Montant mensuel moyen de l’avance et des recettes</w:t>
            </w:r>
          </w:p>
        </w:tc>
        <w:tc>
          <w:tcPr>
            <w:tcW w:w="1843" w:type="dxa"/>
            <w:shd w:val="clear" w:color="auto" w:fill="auto"/>
            <w:vAlign w:val="center"/>
          </w:tcPr>
          <w:p w14:paraId="45561DC4" w14:textId="04245E6A" w:rsidR="00EC497C" w:rsidRPr="00304997" w:rsidRDefault="00EC497C" w:rsidP="0050389A">
            <w:pPr>
              <w:tabs>
                <w:tab w:val="left" w:pos="3150"/>
              </w:tabs>
              <w:spacing w:before="120"/>
              <w:ind w:right="-109"/>
              <w:jc w:val="center"/>
              <w:rPr>
                <w:b/>
                <w:color w:val="002060"/>
                <w:sz w:val="24"/>
                <w:szCs w:val="24"/>
              </w:rPr>
            </w:pPr>
            <w:r w:rsidRPr="00304997">
              <w:rPr>
                <w:b/>
                <w:color w:val="002060"/>
                <w:sz w:val="24"/>
                <w:szCs w:val="24"/>
              </w:rPr>
              <w:t xml:space="preserve">Montant </w:t>
            </w:r>
            <w:r>
              <w:rPr>
                <w:b/>
                <w:color w:val="002060"/>
                <w:sz w:val="24"/>
                <w:szCs w:val="24"/>
              </w:rPr>
              <w:t>de l’indemnité de fonds annuelle</w:t>
            </w:r>
          </w:p>
        </w:tc>
      </w:tr>
      <w:tr w:rsidR="00EC497C" w:rsidRPr="00304997" w14:paraId="1AD72D4C" w14:textId="77777777" w:rsidTr="00EC497C">
        <w:trPr>
          <w:jc w:val="center"/>
        </w:trPr>
        <w:tc>
          <w:tcPr>
            <w:tcW w:w="5146" w:type="dxa"/>
            <w:shd w:val="clear" w:color="auto" w:fill="auto"/>
            <w:vAlign w:val="center"/>
          </w:tcPr>
          <w:p w14:paraId="1041430E" w14:textId="55E7D40E" w:rsidR="00EC497C" w:rsidRPr="00304997" w:rsidRDefault="00F522EC" w:rsidP="0050389A">
            <w:pPr>
              <w:tabs>
                <w:tab w:val="left" w:pos="3150"/>
              </w:tabs>
              <w:spacing w:before="120"/>
              <w:ind w:right="-109"/>
              <w:jc w:val="center"/>
              <w:rPr>
                <w:rFonts w:cstheme="minorHAnsi"/>
                <w:b/>
                <w:color w:val="000000" w:themeColor="text1"/>
              </w:rPr>
            </w:pPr>
            <w:r>
              <w:rPr>
                <w:rFonts w:cstheme="minorHAnsi"/>
                <w:b/>
                <w:color w:val="000000" w:themeColor="text1"/>
              </w:rPr>
              <w:t xml:space="preserve">Ex : </w:t>
            </w:r>
            <w:r w:rsidR="00EC497C">
              <w:rPr>
                <w:rFonts w:cstheme="minorHAnsi"/>
                <w:b/>
                <w:color w:val="000000" w:themeColor="text1"/>
              </w:rPr>
              <w:t>Régie de la piscine</w:t>
            </w:r>
          </w:p>
        </w:tc>
        <w:tc>
          <w:tcPr>
            <w:tcW w:w="2787" w:type="dxa"/>
            <w:shd w:val="clear" w:color="auto" w:fill="auto"/>
            <w:vAlign w:val="center"/>
          </w:tcPr>
          <w:p w14:paraId="0F0F2D8B" w14:textId="1A84F153" w:rsidR="00EC497C" w:rsidRPr="00304997" w:rsidRDefault="00EC497C" w:rsidP="0050389A">
            <w:pPr>
              <w:tabs>
                <w:tab w:val="left" w:pos="3150"/>
              </w:tabs>
              <w:spacing w:before="120"/>
              <w:ind w:right="-109"/>
              <w:jc w:val="center"/>
              <w:rPr>
                <w:rFonts w:cstheme="minorHAnsi"/>
                <w:b/>
                <w:color w:val="000000" w:themeColor="text1"/>
              </w:rPr>
            </w:pPr>
            <w:r w:rsidRPr="00304997">
              <w:rPr>
                <w:rFonts w:cstheme="minorHAnsi"/>
                <w:b/>
                <w:color w:val="000000" w:themeColor="text1"/>
              </w:rPr>
              <w:t xml:space="preserve">Ex : De </w:t>
            </w:r>
            <w:r>
              <w:rPr>
                <w:rFonts w:cstheme="minorHAnsi"/>
                <w:b/>
                <w:color w:val="000000" w:themeColor="text1"/>
              </w:rPr>
              <w:t>7 601 €</w:t>
            </w:r>
            <w:r w:rsidRPr="00304997">
              <w:rPr>
                <w:rFonts w:cstheme="minorHAnsi"/>
                <w:b/>
                <w:color w:val="000000" w:themeColor="text1"/>
              </w:rPr>
              <w:t xml:space="preserve"> à </w:t>
            </w:r>
            <w:r>
              <w:rPr>
                <w:rFonts w:cstheme="minorHAnsi"/>
                <w:b/>
                <w:color w:val="000000" w:themeColor="text1"/>
              </w:rPr>
              <w:t>12 200</w:t>
            </w:r>
            <w:r w:rsidRPr="00304997">
              <w:rPr>
                <w:rFonts w:cstheme="minorHAnsi"/>
                <w:b/>
                <w:color w:val="000000" w:themeColor="text1"/>
              </w:rPr>
              <w:t xml:space="preserve"> €</w:t>
            </w:r>
          </w:p>
        </w:tc>
        <w:tc>
          <w:tcPr>
            <w:tcW w:w="1843" w:type="dxa"/>
            <w:shd w:val="clear" w:color="auto" w:fill="auto"/>
            <w:vAlign w:val="center"/>
          </w:tcPr>
          <w:p w14:paraId="5452D6EE" w14:textId="54AF9828" w:rsidR="00EC497C" w:rsidRPr="00304997" w:rsidRDefault="00EC497C" w:rsidP="0050389A">
            <w:pPr>
              <w:tabs>
                <w:tab w:val="left" w:pos="3150"/>
              </w:tabs>
              <w:spacing w:before="120"/>
              <w:ind w:right="-109"/>
              <w:jc w:val="center"/>
              <w:rPr>
                <w:rFonts w:cstheme="minorHAnsi"/>
                <w:b/>
                <w:color w:val="000000" w:themeColor="text1"/>
              </w:rPr>
            </w:pPr>
            <w:r w:rsidRPr="00304997">
              <w:rPr>
                <w:rFonts w:cstheme="minorHAnsi"/>
                <w:b/>
                <w:color w:val="000000" w:themeColor="text1"/>
              </w:rPr>
              <w:t xml:space="preserve">Ex : </w:t>
            </w:r>
            <w:r>
              <w:rPr>
                <w:rFonts w:cstheme="minorHAnsi"/>
                <w:b/>
                <w:color w:val="000000" w:themeColor="text1"/>
              </w:rPr>
              <w:t>160</w:t>
            </w:r>
            <w:r w:rsidRPr="00304997">
              <w:rPr>
                <w:rFonts w:cstheme="minorHAnsi"/>
                <w:b/>
                <w:color w:val="000000" w:themeColor="text1"/>
              </w:rPr>
              <w:t xml:space="preserve"> €</w:t>
            </w:r>
          </w:p>
        </w:tc>
      </w:tr>
      <w:tr w:rsidR="00EC497C" w:rsidRPr="00FE1641" w14:paraId="2C283504" w14:textId="77777777" w:rsidTr="00EC497C">
        <w:trPr>
          <w:jc w:val="center"/>
        </w:trPr>
        <w:tc>
          <w:tcPr>
            <w:tcW w:w="5146" w:type="dxa"/>
            <w:shd w:val="clear" w:color="auto" w:fill="auto"/>
            <w:vAlign w:val="center"/>
          </w:tcPr>
          <w:p w14:paraId="4BF16D8A" w14:textId="77777777" w:rsidR="00EC497C" w:rsidRPr="00FE1641" w:rsidRDefault="00EC497C" w:rsidP="0050389A">
            <w:pPr>
              <w:tabs>
                <w:tab w:val="left" w:pos="3150"/>
              </w:tabs>
              <w:spacing w:before="120"/>
              <w:ind w:right="-109"/>
              <w:jc w:val="center"/>
              <w:rPr>
                <w:rFonts w:cs="Arial"/>
                <w:b/>
                <w:color w:val="CC0066"/>
                <w:sz w:val="18"/>
              </w:rPr>
            </w:pPr>
          </w:p>
        </w:tc>
        <w:tc>
          <w:tcPr>
            <w:tcW w:w="2787" w:type="dxa"/>
            <w:shd w:val="clear" w:color="auto" w:fill="auto"/>
            <w:vAlign w:val="center"/>
          </w:tcPr>
          <w:p w14:paraId="1F35BBDE" w14:textId="77777777" w:rsidR="00EC497C" w:rsidRPr="00FE1641" w:rsidRDefault="00EC497C" w:rsidP="0050389A">
            <w:pPr>
              <w:tabs>
                <w:tab w:val="left" w:pos="3150"/>
              </w:tabs>
              <w:spacing w:before="120"/>
              <w:ind w:right="-109"/>
              <w:jc w:val="center"/>
              <w:rPr>
                <w:rFonts w:cs="Arial"/>
                <w:b/>
                <w:color w:val="CC0066"/>
                <w:sz w:val="18"/>
              </w:rPr>
            </w:pPr>
          </w:p>
        </w:tc>
        <w:tc>
          <w:tcPr>
            <w:tcW w:w="1843" w:type="dxa"/>
            <w:shd w:val="clear" w:color="auto" w:fill="auto"/>
            <w:vAlign w:val="center"/>
          </w:tcPr>
          <w:p w14:paraId="6B74F522" w14:textId="77777777" w:rsidR="00EC497C" w:rsidRPr="00FE1641" w:rsidRDefault="00EC497C" w:rsidP="0050389A">
            <w:pPr>
              <w:tabs>
                <w:tab w:val="left" w:pos="3150"/>
              </w:tabs>
              <w:spacing w:before="120"/>
              <w:ind w:right="-109"/>
              <w:jc w:val="center"/>
              <w:rPr>
                <w:rFonts w:cs="Arial"/>
                <w:b/>
                <w:color w:val="CC0066"/>
                <w:sz w:val="18"/>
              </w:rPr>
            </w:pPr>
          </w:p>
        </w:tc>
      </w:tr>
      <w:tr w:rsidR="00EC497C" w:rsidRPr="00FE1641" w14:paraId="4B6FC0B8" w14:textId="77777777" w:rsidTr="00EC497C">
        <w:trPr>
          <w:jc w:val="center"/>
        </w:trPr>
        <w:tc>
          <w:tcPr>
            <w:tcW w:w="5146" w:type="dxa"/>
            <w:shd w:val="clear" w:color="auto" w:fill="auto"/>
            <w:vAlign w:val="center"/>
          </w:tcPr>
          <w:p w14:paraId="1D86A738" w14:textId="77777777" w:rsidR="00EC497C" w:rsidRPr="00FE1641" w:rsidRDefault="00EC497C" w:rsidP="0050389A">
            <w:pPr>
              <w:tabs>
                <w:tab w:val="left" w:pos="3150"/>
              </w:tabs>
              <w:spacing w:before="120"/>
              <w:ind w:right="-109"/>
              <w:jc w:val="center"/>
              <w:rPr>
                <w:rFonts w:cs="Arial"/>
                <w:b/>
                <w:color w:val="CC0066"/>
                <w:sz w:val="18"/>
              </w:rPr>
            </w:pPr>
          </w:p>
        </w:tc>
        <w:tc>
          <w:tcPr>
            <w:tcW w:w="2787" w:type="dxa"/>
            <w:shd w:val="clear" w:color="auto" w:fill="auto"/>
            <w:vAlign w:val="center"/>
          </w:tcPr>
          <w:p w14:paraId="47A94CD7" w14:textId="77777777" w:rsidR="00EC497C" w:rsidRPr="00FE1641" w:rsidRDefault="00EC497C" w:rsidP="0050389A">
            <w:pPr>
              <w:tabs>
                <w:tab w:val="left" w:pos="3150"/>
              </w:tabs>
              <w:spacing w:before="120"/>
              <w:ind w:right="-109"/>
              <w:jc w:val="center"/>
              <w:rPr>
                <w:rFonts w:cs="Arial"/>
                <w:b/>
                <w:color w:val="CC0066"/>
                <w:sz w:val="18"/>
              </w:rPr>
            </w:pPr>
          </w:p>
        </w:tc>
        <w:tc>
          <w:tcPr>
            <w:tcW w:w="1843" w:type="dxa"/>
            <w:shd w:val="clear" w:color="auto" w:fill="auto"/>
            <w:vAlign w:val="center"/>
          </w:tcPr>
          <w:p w14:paraId="44F5ADB8" w14:textId="77777777" w:rsidR="00EC497C" w:rsidRPr="00FE1641" w:rsidRDefault="00EC497C" w:rsidP="0050389A">
            <w:pPr>
              <w:tabs>
                <w:tab w:val="left" w:pos="3150"/>
              </w:tabs>
              <w:spacing w:before="120"/>
              <w:ind w:right="-109"/>
              <w:jc w:val="center"/>
              <w:rPr>
                <w:rFonts w:cs="Arial"/>
                <w:b/>
                <w:color w:val="CC0066"/>
                <w:sz w:val="18"/>
              </w:rPr>
            </w:pPr>
          </w:p>
        </w:tc>
      </w:tr>
    </w:tbl>
    <w:p w14:paraId="73F9C6F7" w14:textId="5052F707"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19DBA6C8" w14:textId="7F9A0580"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Bénéficiaires :</w:t>
      </w:r>
    </w:p>
    <w:p w14:paraId="340E7096" w14:textId="41C6281B" w:rsidR="00EC497C" w:rsidRPr="00245F64" w:rsidRDefault="00EC497C" w:rsidP="00EC497C">
      <w:pPr>
        <w:pStyle w:val="Titre2"/>
        <w:tabs>
          <w:tab w:val="left" w:pos="8712"/>
        </w:tabs>
        <w:spacing w:before="147"/>
        <w:ind w:left="923"/>
        <w:rPr>
          <w:rFonts w:ascii="Arial" w:hAnsi="Arial" w:cs="Arial"/>
        </w:rPr>
      </w:pPr>
      <w:r>
        <w:rPr>
          <w:rFonts w:ascii="Arial" w:hAnsi="Arial" w:cs="Arial"/>
        </w:rPr>
        <w:t>Fonctionnaires</w:t>
      </w:r>
      <w:r w:rsidRPr="00245F64">
        <w:rPr>
          <w:rFonts w:ascii="Arial" w:hAnsi="Arial" w:cs="Arial"/>
          <w:spacing w:val="-1"/>
        </w:rPr>
        <w:t xml:space="preserve"> </w:t>
      </w:r>
      <w:r w:rsidRPr="00245F64">
        <w:rPr>
          <w:rFonts w:ascii="Arial" w:hAnsi="Arial" w:cs="Arial"/>
        </w:rPr>
        <w:t></w:t>
      </w:r>
      <w:r w:rsidR="00F522EC">
        <w:rPr>
          <w:rFonts w:ascii="Arial" w:hAnsi="Arial" w:cs="Arial"/>
        </w:rPr>
        <w:t xml:space="preserve">                                              </w:t>
      </w:r>
      <w:r>
        <w:rPr>
          <w:rFonts w:ascii="Arial" w:hAnsi="Arial" w:cs="Arial"/>
        </w:rPr>
        <w:t>Contractuels</w:t>
      </w:r>
      <w:r w:rsidR="00F522EC">
        <w:rPr>
          <w:rFonts w:ascii="Arial" w:hAnsi="Arial" w:cs="Arial"/>
        </w:rPr>
        <w:t xml:space="preserve"> de droit public</w:t>
      </w:r>
      <w:r>
        <w:rPr>
          <w:rFonts w:ascii="Arial" w:hAnsi="Arial" w:cs="Arial"/>
        </w:rPr>
        <w:t xml:space="preserve"> </w:t>
      </w:r>
      <w:r w:rsidRPr="00245F64">
        <w:rPr>
          <w:rFonts w:ascii="Arial" w:hAnsi="Arial" w:cs="Arial"/>
        </w:rPr>
        <w:t></w:t>
      </w:r>
    </w:p>
    <w:p w14:paraId="52D1F3CA" w14:textId="5FB86201"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266F682A" w14:textId="77777777" w:rsidR="00F522EC" w:rsidRDefault="00F522EC" w:rsidP="00F522EC">
      <w:pPr>
        <w:pStyle w:val="Titre1"/>
        <w:rPr>
          <w:rFonts w:ascii="Arial" w:hAnsi="Arial" w:cs="Arial"/>
        </w:rPr>
      </w:pPr>
    </w:p>
    <w:p w14:paraId="4A6270AE" w14:textId="77777777" w:rsidR="00F522EC" w:rsidRDefault="00F522EC" w:rsidP="00F522EC">
      <w:pPr>
        <w:pStyle w:val="Titre1"/>
        <w:rPr>
          <w:rFonts w:ascii="Arial" w:hAnsi="Arial" w:cs="Arial"/>
        </w:rPr>
      </w:pPr>
    </w:p>
    <w:p w14:paraId="6535180E" w14:textId="77777777" w:rsidR="00F522EC" w:rsidRDefault="00F522EC" w:rsidP="00F522EC">
      <w:pPr>
        <w:pStyle w:val="Titre1"/>
        <w:rPr>
          <w:rFonts w:ascii="Arial" w:hAnsi="Arial" w:cs="Arial"/>
        </w:rPr>
      </w:pPr>
    </w:p>
    <w:p w14:paraId="3A762650" w14:textId="77777777" w:rsidR="00F522EC" w:rsidRDefault="00F522EC" w:rsidP="00F522EC">
      <w:pPr>
        <w:pStyle w:val="Titre1"/>
        <w:rPr>
          <w:rFonts w:ascii="Arial" w:hAnsi="Arial" w:cs="Arial"/>
        </w:rPr>
      </w:pPr>
    </w:p>
    <w:p w14:paraId="1AD7059B" w14:textId="77777777" w:rsidR="00F522EC" w:rsidRDefault="00F522EC" w:rsidP="00F522EC">
      <w:pPr>
        <w:pStyle w:val="Titre1"/>
        <w:rPr>
          <w:rFonts w:ascii="Arial" w:hAnsi="Arial" w:cs="Arial"/>
        </w:rPr>
      </w:pPr>
    </w:p>
    <w:p w14:paraId="5A4B86C8" w14:textId="77777777" w:rsidR="00F522EC" w:rsidRDefault="00F522EC" w:rsidP="00F522EC">
      <w:pPr>
        <w:pStyle w:val="Titre1"/>
        <w:rPr>
          <w:rFonts w:ascii="Arial" w:hAnsi="Arial" w:cs="Arial"/>
        </w:rPr>
      </w:pPr>
    </w:p>
    <w:p w14:paraId="184A6A2B" w14:textId="45FEC800" w:rsidR="00F522EC" w:rsidRPr="00F522EC" w:rsidRDefault="00F522EC" w:rsidP="00F522EC">
      <w:pPr>
        <w:pStyle w:val="Titre1"/>
        <w:ind w:left="851"/>
        <w:rPr>
          <w:rFonts w:ascii="Arial" w:hAnsi="Arial" w:cs="Arial"/>
          <w:b w:val="0"/>
          <w:bCs w:val="0"/>
          <w:sz w:val="22"/>
          <w:szCs w:val="22"/>
          <w:u w:val="none"/>
        </w:rPr>
      </w:pPr>
      <w:r w:rsidRPr="00F522EC">
        <w:rPr>
          <w:rFonts w:ascii="Arial" w:hAnsi="Arial" w:cs="Arial"/>
          <w:b w:val="0"/>
          <w:bCs w:val="0"/>
          <w:sz w:val="22"/>
          <w:szCs w:val="22"/>
          <w:u w:val="none"/>
        </w:rPr>
        <w:t>Montants prévus dans l’arrêté du 28 mai 1993 :</w:t>
      </w:r>
    </w:p>
    <w:p w14:paraId="3F94AE35" w14:textId="79D7A419" w:rsidR="00F522EC" w:rsidRDefault="00F522E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118"/>
        <w:gridCol w:w="2835"/>
      </w:tblGrid>
      <w:tr w:rsidR="00EC497C" w:rsidRPr="00531260" w14:paraId="33457495" w14:textId="77777777" w:rsidTr="00EC497C">
        <w:tc>
          <w:tcPr>
            <w:tcW w:w="3969" w:type="dxa"/>
            <w:vAlign w:val="center"/>
          </w:tcPr>
          <w:p w14:paraId="6AECAF67" w14:textId="77777777" w:rsidR="00EC497C" w:rsidRPr="00531260" w:rsidRDefault="00EC497C" w:rsidP="0050389A">
            <w:pPr>
              <w:pStyle w:val="Sansinterligne"/>
              <w:jc w:val="center"/>
              <w:rPr>
                <w:rFonts w:ascii="Calibri" w:hAnsi="Calibri" w:cs="Calibri"/>
                <w:b/>
                <w:sz w:val="22"/>
                <w:szCs w:val="22"/>
              </w:rPr>
            </w:pPr>
            <w:r w:rsidRPr="00531260">
              <w:rPr>
                <w:rFonts w:ascii="Calibri" w:hAnsi="Calibri" w:cs="Calibri"/>
                <w:b/>
                <w:sz w:val="22"/>
                <w:szCs w:val="22"/>
              </w:rPr>
              <w:t>Montant maximum de l’avance pouvant être consentie (régisseur d’avances)</w:t>
            </w:r>
          </w:p>
          <w:p w14:paraId="1511F9A2" w14:textId="77777777" w:rsidR="00EC497C" w:rsidRPr="00531260" w:rsidRDefault="00EC497C" w:rsidP="0050389A">
            <w:pPr>
              <w:pStyle w:val="Sansinterligne"/>
              <w:jc w:val="center"/>
              <w:rPr>
                <w:rFonts w:ascii="Calibri" w:hAnsi="Calibri" w:cs="Calibri"/>
                <w:b/>
                <w:sz w:val="22"/>
                <w:szCs w:val="22"/>
                <w:u w:val="single"/>
              </w:rPr>
            </w:pPr>
            <w:r w:rsidRPr="00531260">
              <w:rPr>
                <w:rFonts w:ascii="Calibri" w:hAnsi="Calibri" w:cs="Calibri"/>
                <w:b/>
                <w:sz w:val="22"/>
                <w:szCs w:val="22"/>
                <w:u w:val="single"/>
              </w:rPr>
              <w:t>ou</w:t>
            </w:r>
          </w:p>
          <w:p w14:paraId="6DA26F06" w14:textId="77777777" w:rsidR="00EC497C" w:rsidRPr="00531260" w:rsidRDefault="00EC497C" w:rsidP="0050389A">
            <w:pPr>
              <w:pStyle w:val="Sansinterligne"/>
              <w:jc w:val="center"/>
              <w:rPr>
                <w:rFonts w:ascii="Calibri" w:hAnsi="Calibri" w:cs="Calibri"/>
                <w:b/>
                <w:sz w:val="22"/>
                <w:szCs w:val="22"/>
              </w:rPr>
            </w:pPr>
            <w:r w:rsidRPr="00531260">
              <w:rPr>
                <w:rFonts w:ascii="Calibri" w:hAnsi="Calibri" w:cs="Calibri"/>
                <w:b/>
                <w:sz w:val="22"/>
                <w:szCs w:val="22"/>
              </w:rPr>
              <w:t>montant moyen des recettes encaissées mensuellement (régisseur de recettes)</w:t>
            </w:r>
          </w:p>
        </w:tc>
        <w:tc>
          <w:tcPr>
            <w:tcW w:w="3118" w:type="dxa"/>
            <w:vAlign w:val="center"/>
          </w:tcPr>
          <w:p w14:paraId="0B8A3BB5" w14:textId="77777777" w:rsidR="00EC497C" w:rsidRPr="00531260" w:rsidRDefault="00EC497C" w:rsidP="0050389A">
            <w:pPr>
              <w:pStyle w:val="Sansinterligne"/>
              <w:jc w:val="center"/>
              <w:rPr>
                <w:rFonts w:ascii="Calibri" w:hAnsi="Calibri" w:cs="Calibri"/>
                <w:b/>
                <w:sz w:val="22"/>
                <w:szCs w:val="22"/>
              </w:rPr>
            </w:pPr>
            <w:r w:rsidRPr="00531260">
              <w:rPr>
                <w:rFonts w:ascii="Calibri" w:hAnsi="Calibri" w:cs="Calibri"/>
                <w:b/>
                <w:sz w:val="22"/>
                <w:szCs w:val="22"/>
              </w:rPr>
              <w:t xml:space="preserve">Montant total du maximum pour un régisseur d’avances </w:t>
            </w:r>
            <w:r w:rsidRPr="00531260">
              <w:rPr>
                <w:rFonts w:ascii="Calibri" w:hAnsi="Calibri" w:cs="Calibri"/>
                <w:b/>
                <w:sz w:val="22"/>
                <w:szCs w:val="22"/>
                <w:u w:val="single"/>
              </w:rPr>
              <w:t>et</w:t>
            </w:r>
            <w:r w:rsidRPr="00531260">
              <w:rPr>
                <w:rFonts w:ascii="Calibri" w:hAnsi="Calibri" w:cs="Calibri"/>
                <w:b/>
                <w:sz w:val="22"/>
                <w:szCs w:val="22"/>
              </w:rPr>
              <w:t xml:space="preserve"> de recettes</w:t>
            </w:r>
          </w:p>
        </w:tc>
        <w:tc>
          <w:tcPr>
            <w:tcW w:w="2835" w:type="dxa"/>
            <w:vAlign w:val="center"/>
          </w:tcPr>
          <w:p w14:paraId="0663872D" w14:textId="7165B5A2" w:rsidR="00EC497C" w:rsidRPr="00531260" w:rsidRDefault="00EC497C" w:rsidP="0050389A">
            <w:pPr>
              <w:pStyle w:val="Sansinterligne"/>
              <w:jc w:val="center"/>
              <w:rPr>
                <w:rFonts w:ascii="Calibri" w:hAnsi="Calibri" w:cs="Calibri"/>
                <w:b/>
                <w:sz w:val="22"/>
                <w:szCs w:val="22"/>
              </w:rPr>
            </w:pPr>
            <w:r w:rsidRPr="00531260">
              <w:rPr>
                <w:rFonts w:ascii="Calibri" w:hAnsi="Calibri" w:cs="Calibri"/>
                <w:b/>
                <w:sz w:val="22"/>
                <w:szCs w:val="22"/>
              </w:rPr>
              <w:t>Montant de l’indemnité de responsabilité annuelle</w:t>
            </w:r>
          </w:p>
        </w:tc>
      </w:tr>
      <w:tr w:rsidR="00EC497C" w:rsidRPr="00531260" w14:paraId="2AD4B8B6" w14:textId="77777777" w:rsidTr="00EC497C">
        <w:tc>
          <w:tcPr>
            <w:tcW w:w="3969" w:type="dxa"/>
          </w:tcPr>
          <w:p w14:paraId="0A964A8E" w14:textId="77777777" w:rsidR="00EC497C" w:rsidRPr="00531260" w:rsidRDefault="00EC497C" w:rsidP="0050389A">
            <w:pPr>
              <w:pStyle w:val="Sansinterligne"/>
              <w:jc w:val="center"/>
              <w:rPr>
                <w:rFonts w:ascii="Calibri" w:hAnsi="Calibri" w:cs="Calibri"/>
                <w:sz w:val="22"/>
                <w:szCs w:val="22"/>
              </w:rPr>
            </w:pPr>
            <w:r w:rsidRPr="00531260">
              <w:rPr>
                <w:rFonts w:ascii="Calibri" w:hAnsi="Calibri" w:cs="Calibri"/>
                <w:sz w:val="22"/>
                <w:szCs w:val="22"/>
              </w:rPr>
              <w:t>De 0 € à 1 220 €</w:t>
            </w:r>
          </w:p>
        </w:tc>
        <w:tc>
          <w:tcPr>
            <w:tcW w:w="3118" w:type="dxa"/>
          </w:tcPr>
          <w:p w14:paraId="42B6D592" w14:textId="77777777" w:rsidR="00EC497C" w:rsidRPr="00531260" w:rsidRDefault="00EC497C" w:rsidP="0050389A">
            <w:pPr>
              <w:pStyle w:val="Sansinterligne"/>
              <w:jc w:val="center"/>
              <w:rPr>
                <w:rFonts w:ascii="Calibri" w:hAnsi="Calibri" w:cs="Calibri"/>
                <w:sz w:val="22"/>
                <w:szCs w:val="22"/>
              </w:rPr>
            </w:pPr>
            <w:r w:rsidRPr="00531260">
              <w:rPr>
                <w:rFonts w:ascii="Calibri" w:hAnsi="Calibri" w:cs="Calibri"/>
                <w:sz w:val="22"/>
                <w:szCs w:val="22"/>
              </w:rPr>
              <w:t>De 0 € à 2 440 €</w:t>
            </w:r>
          </w:p>
        </w:tc>
        <w:tc>
          <w:tcPr>
            <w:tcW w:w="2835" w:type="dxa"/>
          </w:tcPr>
          <w:p w14:paraId="640B915E" w14:textId="77777777" w:rsidR="00EC497C" w:rsidRPr="00531260" w:rsidRDefault="00EC497C" w:rsidP="0050389A">
            <w:pPr>
              <w:pStyle w:val="Sansinterligne"/>
              <w:jc w:val="center"/>
              <w:rPr>
                <w:rFonts w:ascii="Calibri" w:hAnsi="Calibri" w:cs="Calibri"/>
                <w:sz w:val="22"/>
                <w:szCs w:val="22"/>
              </w:rPr>
            </w:pPr>
            <w:r w:rsidRPr="00531260">
              <w:rPr>
                <w:rFonts w:ascii="Calibri" w:hAnsi="Calibri" w:cs="Calibri"/>
                <w:sz w:val="22"/>
                <w:szCs w:val="22"/>
              </w:rPr>
              <w:t xml:space="preserve">110 € </w:t>
            </w:r>
          </w:p>
        </w:tc>
      </w:tr>
      <w:tr w:rsidR="00EC497C" w:rsidRPr="00531260" w14:paraId="3C3DCA9C" w14:textId="77777777" w:rsidTr="00EC497C">
        <w:tc>
          <w:tcPr>
            <w:tcW w:w="3969" w:type="dxa"/>
          </w:tcPr>
          <w:p w14:paraId="3DBEF7BB" w14:textId="77777777" w:rsidR="00EC497C" w:rsidRPr="00531260" w:rsidRDefault="00EC497C" w:rsidP="0050389A">
            <w:pPr>
              <w:jc w:val="center"/>
              <w:rPr>
                <w:rFonts w:ascii="Calibri" w:hAnsi="Calibri" w:cs="Calibri"/>
              </w:rPr>
            </w:pPr>
            <w:r w:rsidRPr="00531260">
              <w:rPr>
                <w:rFonts w:ascii="Calibri" w:hAnsi="Calibri" w:cs="Calibri"/>
              </w:rPr>
              <w:t>De 1 221 € à 3 000 €</w:t>
            </w:r>
          </w:p>
        </w:tc>
        <w:tc>
          <w:tcPr>
            <w:tcW w:w="3118" w:type="dxa"/>
          </w:tcPr>
          <w:p w14:paraId="6232A410" w14:textId="77777777" w:rsidR="00EC497C" w:rsidRPr="00531260" w:rsidRDefault="00EC497C" w:rsidP="0050389A">
            <w:pPr>
              <w:jc w:val="center"/>
              <w:rPr>
                <w:rFonts w:ascii="Calibri" w:hAnsi="Calibri" w:cs="Calibri"/>
              </w:rPr>
            </w:pPr>
            <w:r w:rsidRPr="00531260">
              <w:rPr>
                <w:rFonts w:ascii="Calibri" w:hAnsi="Calibri" w:cs="Calibri"/>
              </w:rPr>
              <w:t>De 2 441 € à 3 000 €</w:t>
            </w:r>
          </w:p>
        </w:tc>
        <w:tc>
          <w:tcPr>
            <w:tcW w:w="2835" w:type="dxa"/>
          </w:tcPr>
          <w:p w14:paraId="0DA98AC8" w14:textId="77777777" w:rsidR="00EC497C" w:rsidRPr="00531260" w:rsidRDefault="00EC497C" w:rsidP="0050389A">
            <w:pPr>
              <w:pStyle w:val="Sansinterligne"/>
              <w:jc w:val="center"/>
              <w:rPr>
                <w:rFonts w:ascii="Calibri" w:hAnsi="Calibri" w:cs="Calibri"/>
                <w:sz w:val="22"/>
                <w:szCs w:val="22"/>
              </w:rPr>
            </w:pPr>
            <w:r w:rsidRPr="00531260">
              <w:rPr>
                <w:rFonts w:ascii="Calibri" w:hAnsi="Calibri" w:cs="Calibri"/>
                <w:sz w:val="22"/>
                <w:szCs w:val="22"/>
              </w:rPr>
              <w:t>110 €</w:t>
            </w:r>
          </w:p>
        </w:tc>
      </w:tr>
      <w:tr w:rsidR="00EC497C" w:rsidRPr="00531260" w14:paraId="784D59BF" w14:textId="77777777" w:rsidTr="00EC497C">
        <w:tc>
          <w:tcPr>
            <w:tcW w:w="3969" w:type="dxa"/>
          </w:tcPr>
          <w:p w14:paraId="2992A61A" w14:textId="77777777" w:rsidR="00EC497C" w:rsidRPr="00531260" w:rsidRDefault="00EC497C" w:rsidP="0050389A">
            <w:pPr>
              <w:jc w:val="center"/>
              <w:rPr>
                <w:rFonts w:ascii="Calibri" w:hAnsi="Calibri" w:cs="Calibri"/>
              </w:rPr>
            </w:pPr>
            <w:r w:rsidRPr="00531260">
              <w:rPr>
                <w:rFonts w:ascii="Calibri" w:hAnsi="Calibri" w:cs="Calibri"/>
              </w:rPr>
              <w:t>De 3 001 € à 4 600 €</w:t>
            </w:r>
          </w:p>
        </w:tc>
        <w:tc>
          <w:tcPr>
            <w:tcW w:w="3118" w:type="dxa"/>
          </w:tcPr>
          <w:p w14:paraId="79FB0EB4" w14:textId="77777777" w:rsidR="00EC497C" w:rsidRPr="00531260" w:rsidRDefault="00EC497C" w:rsidP="0050389A">
            <w:pPr>
              <w:jc w:val="center"/>
              <w:rPr>
                <w:rFonts w:ascii="Calibri" w:hAnsi="Calibri" w:cs="Calibri"/>
              </w:rPr>
            </w:pPr>
            <w:r w:rsidRPr="00531260">
              <w:rPr>
                <w:rFonts w:ascii="Calibri" w:hAnsi="Calibri" w:cs="Calibri"/>
              </w:rPr>
              <w:t>De 3 001 € à 4 600 €</w:t>
            </w:r>
          </w:p>
        </w:tc>
        <w:tc>
          <w:tcPr>
            <w:tcW w:w="2835" w:type="dxa"/>
          </w:tcPr>
          <w:p w14:paraId="7A71BC2F" w14:textId="77777777" w:rsidR="00EC497C" w:rsidRPr="00531260" w:rsidRDefault="00EC497C" w:rsidP="0050389A">
            <w:pPr>
              <w:jc w:val="center"/>
              <w:rPr>
                <w:rFonts w:ascii="Calibri" w:hAnsi="Calibri" w:cs="Calibri"/>
              </w:rPr>
            </w:pPr>
            <w:r w:rsidRPr="00531260">
              <w:rPr>
                <w:rFonts w:ascii="Calibri" w:hAnsi="Calibri" w:cs="Calibri"/>
              </w:rPr>
              <w:t>120 €</w:t>
            </w:r>
          </w:p>
        </w:tc>
      </w:tr>
      <w:tr w:rsidR="00EC497C" w:rsidRPr="00531260" w14:paraId="3ACAD5DA" w14:textId="77777777" w:rsidTr="00EC497C">
        <w:tc>
          <w:tcPr>
            <w:tcW w:w="3969" w:type="dxa"/>
          </w:tcPr>
          <w:p w14:paraId="4A78EC32" w14:textId="77777777" w:rsidR="00EC497C" w:rsidRPr="00531260" w:rsidRDefault="00EC497C" w:rsidP="0050389A">
            <w:pPr>
              <w:jc w:val="center"/>
              <w:rPr>
                <w:rFonts w:ascii="Calibri" w:hAnsi="Calibri" w:cs="Calibri"/>
              </w:rPr>
            </w:pPr>
            <w:r w:rsidRPr="00531260">
              <w:rPr>
                <w:rFonts w:ascii="Calibri" w:hAnsi="Calibri" w:cs="Calibri"/>
              </w:rPr>
              <w:t>De 4 601 € à 7 600 €</w:t>
            </w:r>
          </w:p>
        </w:tc>
        <w:tc>
          <w:tcPr>
            <w:tcW w:w="3118" w:type="dxa"/>
          </w:tcPr>
          <w:p w14:paraId="1C0A2517" w14:textId="77777777" w:rsidR="00EC497C" w:rsidRPr="00531260" w:rsidRDefault="00EC497C" w:rsidP="0050389A">
            <w:pPr>
              <w:jc w:val="center"/>
              <w:rPr>
                <w:rFonts w:ascii="Calibri" w:hAnsi="Calibri" w:cs="Calibri"/>
              </w:rPr>
            </w:pPr>
            <w:r w:rsidRPr="00531260">
              <w:rPr>
                <w:rFonts w:ascii="Calibri" w:hAnsi="Calibri" w:cs="Calibri"/>
              </w:rPr>
              <w:t>De 4 601 € à 7 600 €</w:t>
            </w:r>
          </w:p>
        </w:tc>
        <w:tc>
          <w:tcPr>
            <w:tcW w:w="2835" w:type="dxa"/>
          </w:tcPr>
          <w:p w14:paraId="72F84DBA" w14:textId="77777777" w:rsidR="00EC497C" w:rsidRPr="00531260" w:rsidRDefault="00EC497C" w:rsidP="0050389A">
            <w:pPr>
              <w:jc w:val="center"/>
              <w:rPr>
                <w:rFonts w:ascii="Calibri" w:hAnsi="Calibri" w:cs="Calibri"/>
              </w:rPr>
            </w:pPr>
            <w:r w:rsidRPr="00531260">
              <w:rPr>
                <w:rFonts w:ascii="Calibri" w:hAnsi="Calibri" w:cs="Calibri"/>
              </w:rPr>
              <w:t>140 €</w:t>
            </w:r>
          </w:p>
        </w:tc>
      </w:tr>
      <w:tr w:rsidR="00EC497C" w:rsidRPr="00531260" w14:paraId="5757DAF5" w14:textId="77777777" w:rsidTr="00EC497C">
        <w:tc>
          <w:tcPr>
            <w:tcW w:w="3969" w:type="dxa"/>
          </w:tcPr>
          <w:p w14:paraId="127ADAA6" w14:textId="77777777" w:rsidR="00EC497C" w:rsidRPr="00531260" w:rsidRDefault="00EC497C" w:rsidP="0050389A">
            <w:pPr>
              <w:jc w:val="center"/>
              <w:rPr>
                <w:rFonts w:ascii="Calibri" w:hAnsi="Calibri" w:cs="Calibri"/>
              </w:rPr>
            </w:pPr>
            <w:r w:rsidRPr="00531260">
              <w:rPr>
                <w:rFonts w:ascii="Calibri" w:hAnsi="Calibri" w:cs="Calibri"/>
              </w:rPr>
              <w:t>De 7 601 € à 12 200 €</w:t>
            </w:r>
          </w:p>
        </w:tc>
        <w:tc>
          <w:tcPr>
            <w:tcW w:w="3118" w:type="dxa"/>
          </w:tcPr>
          <w:p w14:paraId="0E22CC9A" w14:textId="77777777" w:rsidR="00EC497C" w:rsidRPr="00531260" w:rsidRDefault="00EC497C" w:rsidP="0050389A">
            <w:pPr>
              <w:jc w:val="center"/>
              <w:rPr>
                <w:rFonts w:ascii="Calibri" w:hAnsi="Calibri" w:cs="Calibri"/>
              </w:rPr>
            </w:pPr>
            <w:r w:rsidRPr="00531260">
              <w:rPr>
                <w:rFonts w:ascii="Calibri" w:hAnsi="Calibri" w:cs="Calibri"/>
              </w:rPr>
              <w:t>De 7 601 € à 12 200 €</w:t>
            </w:r>
          </w:p>
        </w:tc>
        <w:tc>
          <w:tcPr>
            <w:tcW w:w="2835" w:type="dxa"/>
          </w:tcPr>
          <w:p w14:paraId="466622F5" w14:textId="77777777" w:rsidR="00EC497C" w:rsidRPr="00531260" w:rsidRDefault="00EC497C" w:rsidP="0050389A">
            <w:pPr>
              <w:jc w:val="center"/>
              <w:rPr>
                <w:rFonts w:ascii="Calibri" w:hAnsi="Calibri" w:cs="Calibri"/>
              </w:rPr>
            </w:pPr>
            <w:r w:rsidRPr="00531260">
              <w:rPr>
                <w:rFonts w:ascii="Calibri" w:hAnsi="Calibri" w:cs="Calibri"/>
              </w:rPr>
              <w:t>160 €</w:t>
            </w:r>
          </w:p>
        </w:tc>
      </w:tr>
      <w:tr w:rsidR="00EC497C" w:rsidRPr="00531260" w14:paraId="4C5796CF" w14:textId="77777777" w:rsidTr="00EC497C">
        <w:tc>
          <w:tcPr>
            <w:tcW w:w="3969" w:type="dxa"/>
          </w:tcPr>
          <w:p w14:paraId="6077CD8E" w14:textId="77777777" w:rsidR="00EC497C" w:rsidRPr="00531260" w:rsidRDefault="00EC497C" w:rsidP="0050389A">
            <w:pPr>
              <w:jc w:val="center"/>
              <w:rPr>
                <w:rFonts w:ascii="Calibri" w:hAnsi="Calibri" w:cs="Calibri"/>
              </w:rPr>
            </w:pPr>
            <w:r w:rsidRPr="00531260">
              <w:rPr>
                <w:rFonts w:ascii="Calibri" w:hAnsi="Calibri" w:cs="Calibri"/>
              </w:rPr>
              <w:t>De 12 201 € à 18 000 €</w:t>
            </w:r>
          </w:p>
        </w:tc>
        <w:tc>
          <w:tcPr>
            <w:tcW w:w="3118" w:type="dxa"/>
          </w:tcPr>
          <w:p w14:paraId="6F15B7A5" w14:textId="77777777" w:rsidR="00EC497C" w:rsidRPr="00531260" w:rsidRDefault="00EC497C" w:rsidP="0050389A">
            <w:pPr>
              <w:jc w:val="center"/>
              <w:rPr>
                <w:rFonts w:ascii="Calibri" w:hAnsi="Calibri" w:cs="Calibri"/>
              </w:rPr>
            </w:pPr>
            <w:r w:rsidRPr="00531260">
              <w:rPr>
                <w:rFonts w:ascii="Calibri" w:hAnsi="Calibri" w:cs="Calibri"/>
              </w:rPr>
              <w:t>De 12 201 € à 18 000 €</w:t>
            </w:r>
          </w:p>
        </w:tc>
        <w:tc>
          <w:tcPr>
            <w:tcW w:w="2835" w:type="dxa"/>
          </w:tcPr>
          <w:p w14:paraId="586596D0" w14:textId="77777777" w:rsidR="00EC497C" w:rsidRPr="00531260" w:rsidRDefault="00EC497C" w:rsidP="0050389A">
            <w:pPr>
              <w:jc w:val="center"/>
              <w:rPr>
                <w:rFonts w:ascii="Calibri" w:hAnsi="Calibri" w:cs="Calibri"/>
              </w:rPr>
            </w:pPr>
            <w:r w:rsidRPr="00531260">
              <w:rPr>
                <w:rFonts w:ascii="Calibri" w:hAnsi="Calibri" w:cs="Calibri"/>
              </w:rPr>
              <w:t>200 €</w:t>
            </w:r>
          </w:p>
        </w:tc>
      </w:tr>
      <w:tr w:rsidR="00EC497C" w:rsidRPr="00531260" w14:paraId="0557FBA2" w14:textId="77777777" w:rsidTr="00EC497C">
        <w:tc>
          <w:tcPr>
            <w:tcW w:w="3969" w:type="dxa"/>
          </w:tcPr>
          <w:p w14:paraId="57415698" w14:textId="77777777" w:rsidR="00EC497C" w:rsidRPr="00531260" w:rsidRDefault="00EC497C" w:rsidP="0050389A">
            <w:pPr>
              <w:jc w:val="center"/>
              <w:rPr>
                <w:rFonts w:ascii="Calibri" w:hAnsi="Calibri" w:cs="Calibri"/>
              </w:rPr>
            </w:pPr>
            <w:r w:rsidRPr="00531260">
              <w:rPr>
                <w:rFonts w:ascii="Calibri" w:hAnsi="Calibri" w:cs="Calibri"/>
              </w:rPr>
              <w:t>De 18 001 € à 38 000 €</w:t>
            </w:r>
          </w:p>
        </w:tc>
        <w:tc>
          <w:tcPr>
            <w:tcW w:w="3118" w:type="dxa"/>
          </w:tcPr>
          <w:p w14:paraId="00A3E56E" w14:textId="77777777" w:rsidR="00EC497C" w:rsidRPr="00531260" w:rsidRDefault="00EC497C" w:rsidP="0050389A">
            <w:pPr>
              <w:jc w:val="center"/>
              <w:rPr>
                <w:rFonts w:ascii="Calibri" w:hAnsi="Calibri" w:cs="Calibri"/>
              </w:rPr>
            </w:pPr>
            <w:r w:rsidRPr="00531260">
              <w:rPr>
                <w:rFonts w:ascii="Calibri" w:hAnsi="Calibri" w:cs="Calibri"/>
              </w:rPr>
              <w:t>De 18 001 € à 38 000 €</w:t>
            </w:r>
          </w:p>
        </w:tc>
        <w:tc>
          <w:tcPr>
            <w:tcW w:w="2835" w:type="dxa"/>
          </w:tcPr>
          <w:p w14:paraId="26BEEB5C" w14:textId="77777777" w:rsidR="00EC497C" w:rsidRPr="00531260" w:rsidRDefault="00EC497C" w:rsidP="0050389A">
            <w:pPr>
              <w:jc w:val="center"/>
              <w:rPr>
                <w:rFonts w:ascii="Calibri" w:hAnsi="Calibri" w:cs="Calibri"/>
              </w:rPr>
            </w:pPr>
            <w:r w:rsidRPr="00531260">
              <w:rPr>
                <w:rFonts w:ascii="Calibri" w:hAnsi="Calibri" w:cs="Calibri"/>
              </w:rPr>
              <w:t>320 €</w:t>
            </w:r>
          </w:p>
        </w:tc>
      </w:tr>
      <w:tr w:rsidR="00EC497C" w:rsidRPr="00531260" w14:paraId="76ADAFE0" w14:textId="77777777" w:rsidTr="00EC497C">
        <w:tc>
          <w:tcPr>
            <w:tcW w:w="3969" w:type="dxa"/>
          </w:tcPr>
          <w:p w14:paraId="1B5D3176" w14:textId="77777777" w:rsidR="00EC497C" w:rsidRPr="00531260" w:rsidRDefault="00EC497C" w:rsidP="0050389A">
            <w:pPr>
              <w:jc w:val="center"/>
              <w:rPr>
                <w:rFonts w:ascii="Calibri" w:hAnsi="Calibri" w:cs="Calibri"/>
              </w:rPr>
            </w:pPr>
            <w:r w:rsidRPr="00531260">
              <w:rPr>
                <w:rFonts w:ascii="Calibri" w:hAnsi="Calibri" w:cs="Calibri"/>
              </w:rPr>
              <w:t>De 38 001 € à 53 000 €</w:t>
            </w:r>
          </w:p>
        </w:tc>
        <w:tc>
          <w:tcPr>
            <w:tcW w:w="3118" w:type="dxa"/>
          </w:tcPr>
          <w:p w14:paraId="613F2F27" w14:textId="77777777" w:rsidR="00EC497C" w:rsidRPr="00531260" w:rsidRDefault="00EC497C" w:rsidP="0050389A">
            <w:pPr>
              <w:jc w:val="center"/>
              <w:rPr>
                <w:rFonts w:ascii="Calibri" w:hAnsi="Calibri" w:cs="Calibri"/>
              </w:rPr>
            </w:pPr>
            <w:r w:rsidRPr="00531260">
              <w:rPr>
                <w:rFonts w:ascii="Calibri" w:hAnsi="Calibri" w:cs="Calibri"/>
              </w:rPr>
              <w:t>De 38 001 € à 53 000 €</w:t>
            </w:r>
          </w:p>
        </w:tc>
        <w:tc>
          <w:tcPr>
            <w:tcW w:w="2835" w:type="dxa"/>
          </w:tcPr>
          <w:p w14:paraId="4D5CA834" w14:textId="77777777" w:rsidR="00EC497C" w:rsidRPr="00531260" w:rsidRDefault="00EC497C" w:rsidP="0050389A">
            <w:pPr>
              <w:jc w:val="center"/>
              <w:rPr>
                <w:rFonts w:ascii="Calibri" w:hAnsi="Calibri" w:cs="Calibri"/>
              </w:rPr>
            </w:pPr>
            <w:r w:rsidRPr="00531260">
              <w:rPr>
                <w:rFonts w:ascii="Calibri" w:hAnsi="Calibri" w:cs="Calibri"/>
              </w:rPr>
              <w:t>410 €</w:t>
            </w:r>
          </w:p>
        </w:tc>
      </w:tr>
      <w:tr w:rsidR="00EC497C" w:rsidRPr="00531260" w14:paraId="0C07135F" w14:textId="77777777" w:rsidTr="00EC497C">
        <w:tc>
          <w:tcPr>
            <w:tcW w:w="3969" w:type="dxa"/>
          </w:tcPr>
          <w:p w14:paraId="00410E2E" w14:textId="77777777" w:rsidR="00EC497C" w:rsidRPr="00531260" w:rsidRDefault="00EC497C" w:rsidP="0050389A">
            <w:pPr>
              <w:jc w:val="center"/>
              <w:rPr>
                <w:rFonts w:ascii="Calibri" w:hAnsi="Calibri" w:cs="Calibri"/>
              </w:rPr>
            </w:pPr>
            <w:r w:rsidRPr="00531260">
              <w:rPr>
                <w:rFonts w:ascii="Calibri" w:hAnsi="Calibri" w:cs="Calibri"/>
              </w:rPr>
              <w:t>De 53 001 € à 76 000 €</w:t>
            </w:r>
          </w:p>
        </w:tc>
        <w:tc>
          <w:tcPr>
            <w:tcW w:w="3118" w:type="dxa"/>
          </w:tcPr>
          <w:p w14:paraId="5AC99A1B" w14:textId="77777777" w:rsidR="00EC497C" w:rsidRPr="00531260" w:rsidRDefault="00EC497C" w:rsidP="0050389A">
            <w:pPr>
              <w:jc w:val="center"/>
              <w:rPr>
                <w:rFonts w:ascii="Calibri" w:hAnsi="Calibri" w:cs="Calibri"/>
              </w:rPr>
            </w:pPr>
            <w:r w:rsidRPr="00531260">
              <w:rPr>
                <w:rFonts w:ascii="Calibri" w:hAnsi="Calibri" w:cs="Calibri"/>
              </w:rPr>
              <w:t>De 53 001 € à 76 000 €</w:t>
            </w:r>
          </w:p>
        </w:tc>
        <w:tc>
          <w:tcPr>
            <w:tcW w:w="2835" w:type="dxa"/>
          </w:tcPr>
          <w:p w14:paraId="77E0F43F" w14:textId="77777777" w:rsidR="00EC497C" w:rsidRPr="00531260" w:rsidRDefault="00EC497C" w:rsidP="0050389A">
            <w:pPr>
              <w:jc w:val="center"/>
              <w:rPr>
                <w:rFonts w:ascii="Calibri" w:hAnsi="Calibri" w:cs="Calibri"/>
              </w:rPr>
            </w:pPr>
            <w:r w:rsidRPr="00531260">
              <w:rPr>
                <w:rFonts w:ascii="Calibri" w:hAnsi="Calibri" w:cs="Calibri"/>
              </w:rPr>
              <w:t>550 €</w:t>
            </w:r>
          </w:p>
        </w:tc>
      </w:tr>
      <w:tr w:rsidR="00EC497C" w:rsidRPr="00531260" w14:paraId="585C7A19" w14:textId="77777777" w:rsidTr="00EC497C">
        <w:tc>
          <w:tcPr>
            <w:tcW w:w="3969" w:type="dxa"/>
          </w:tcPr>
          <w:p w14:paraId="067EDF15" w14:textId="77777777" w:rsidR="00EC497C" w:rsidRPr="00531260" w:rsidRDefault="00EC497C" w:rsidP="0050389A">
            <w:pPr>
              <w:jc w:val="center"/>
              <w:rPr>
                <w:rFonts w:ascii="Calibri" w:hAnsi="Calibri" w:cs="Calibri"/>
              </w:rPr>
            </w:pPr>
            <w:r w:rsidRPr="00531260">
              <w:rPr>
                <w:rFonts w:ascii="Calibri" w:hAnsi="Calibri" w:cs="Calibri"/>
              </w:rPr>
              <w:t>De 76 001 € à 150 000 €</w:t>
            </w:r>
          </w:p>
        </w:tc>
        <w:tc>
          <w:tcPr>
            <w:tcW w:w="3118" w:type="dxa"/>
          </w:tcPr>
          <w:p w14:paraId="4C40EB9D" w14:textId="77777777" w:rsidR="00EC497C" w:rsidRPr="00531260" w:rsidRDefault="00EC497C" w:rsidP="0050389A">
            <w:pPr>
              <w:jc w:val="center"/>
              <w:rPr>
                <w:rFonts w:ascii="Calibri" w:hAnsi="Calibri" w:cs="Calibri"/>
              </w:rPr>
            </w:pPr>
            <w:r w:rsidRPr="00531260">
              <w:rPr>
                <w:rFonts w:ascii="Calibri" w:hAnsi="Calibri" w:cs="Calibri"/>
              </w:rPr>
              <w:t>De 76 001 € à 150 000 €</w:t>
            </w:r>
          </w:p>
        </w:tc>
        <w:tc>
          <w:tcPr>
            <w:tcW w:w="2835" w:type="dxa"/>
          </w:tcPr>
          <w:p w14:paraId="0155EC72" w14:textId="77777777" w:rsidR="00EC497C" w:rsidRPr="00531260" w:rsidRDefault="00EC497C" w:rsidP="0050389A">
            <w:pPr>
              <w:jc w:val="center"/>
              <w:rPr>
                <w:rFonts w:ascii="Calibri" w:hAnsi="Calibri" w:cs="Calibri"/>
              </w:rPr>
            </w:pPr>
            <w:r w:rsidRPr="00531260">
              <w:rPr>
                <w:rFonts w:ascii="Calibri" w:hAnsi="Calibri" w:cs="Calibri"/>
              </w:rPr>
              <w:t>640 €</w:t>
            </w:r>
          </w:p>
        </w:tc>
      </w:tr>
      <w:tr w:rsidR="00EC497C" w:rsidRPr="00531260" w14:paraId="6F358C5B" w14:textId="77777777" w:rsidTr="00EC497C">
        <w:tc>
          <w:tcPr>
            <w:tcW w:w="3969" w:type="dxa"/>
          </w:tcPr>
          <w:p w14:paraId="6EC5031F" w14:textId="77777777" w:rsidR="00EC497C" w:rsidRPr="00531260" w:rsidRDefault="00EC497C" w:rsidP="0050389A">
            <w:pPr>
              <w:jc w:val="center"/>
              <w:rPr>
                <w:rFonts w:ascii="Calibri" w:hAnsi="Calibri" w:cs="Calibri"/>
              </w:rPr>
            </w:pPr>
            <w:r w:rsidRPr="00531260">
              <w:rPr>
                <w:rFonts w:ascii="Calibri" w:hAnsi="Calibri" w:cs="Calibri"/>
              </w:rPr>
              <w:t>De 150 001 € à 300 000 €</w:t>
            </w:r>
          </w:p>
        </w:tc>
        <w:tc>
          <w:tcPr>
            <w:tcW w:w="3118" w:type="dxa"/>
          </w:tcPr>
          <w:p w14:paraId="1715B31A" w14:textId="77777777" w:rsidR="00EC497C" w:rsidRPr="00531260" w:rsidRDefault="00EC497C" w:rsidP="0050389A">
            <w:pPr>
              <w:jc w:val="center"/>
              <w:rPr>
                <w:rFonts w:ascii="Calibri" w:hAnsi="Calibri" w:cs="Calibri"/>
              </w:rPr>
            </w:pPr>
            <w:r w:rsidRPr="00531260">
              <w:rPr>
                <w:rFonts w:ascii="Calibri" w:hAnsi="Calibri" w:cs="Calibri"/>
              </w:rPr>
              <w:t>De 150 001 € à 300 000 €</w:t>
            </w:r>
          </w:p>
        </w:tc>
        <w:tc>
          <w:tcPr>
            <w:tcW w:w="2835" w:type="dxa"/>
          </w:tcPr>
          <w:p w14:paraId="19766CB8" w14:textId="77777777" w:rsidR="00EC497C" w:rsidRPr="00531260" w:rsidRDefault="00EC497C" w:rsidP="0050389A">
            <w:pPr>
              <w:jc w:val="center"/>
              <w:rPr>
                <w:rFonts w:ascii="Calibri" w:hAnsi="Calibri" w:cs="Calibri"/>
              </w:rPr>
            </w:pPr>
            <w:r w:rsidRPr="00531260">
              <w:rPr>
                <w:rFonts w:ascii="Calibri" w:hAnsi="Calibri" w:cs="Calibri"/>
              </w:rPr>
              <w:t>690 €</w:t>
            </w:r>
          </w:p>
        </w:tc>
      </w:tr>
      <w:tr w:rsidR="00EC497C" w:rsidRPr="00531260" w14:paraId="57234245" w14:textId="77777777" w:rsidTr="00EC497C">
        <w:tc>
          <w:tcPr>
            <w:tcW w:w="3969" w:type="dxa"/>
          </w:tcPr>
          <w:p w14:paraId="74568421" w14:textId="77777777" w:rsidR="00EC497C" w:rsidRPr="00531260" w:rsidRDefault="00EC497C" w:rsidP="0050389A">
            <w:pPr>
              <w:jc w:val="center"/>
              <w:rPr>
                <w:rFonts w:ascii="Calibri" w:hAnsi="Calibri" w:cs="Calibri"/>
              </w:rPr>
            </w:pPr>
            <w:r w:rsidRPr="00531260">
              <w:rPr>
                <w:rFonts w:ascii="Calibri" w:hAnsi="Calibri" w:cs="Calibri"/>
              </w:rPr>
              <w:t>De 300 001 € à 760 000 €</w:t>
            </w:r>
          </w:p>
        </w:tc>
        <w:tc>
          <w:tcPr>
            <w:tcW w:w="3118" w:type="dxa"/>
          </w:tcPr>
          <w:p w14:paraId="3617D69B" w14:textId="77777777" w:rsidR="00EC497C" w:rsidRPr="00531260" w:rsidRDefault="00EC497C" w:rsidP="0050389A">
            <w:pPr>
              <w:jc w:val="center"/>
              <w:rPr>
                <w:rFonts w:ascii="Calibri" w:hAnsi="Calibri" w:cs="Calibri"/>
              </w:rPr>
            </w:pPr>
            <w:r w:rsidRPr="00531260">
              <w:rPr>
                <w:rFonts w:ascii="Calibri" w:hAnsi="Calibri" w:cs="Calibri"/>
              </w:rPr>
              <w:t>De 300 001 € à 760 000 €</w:t>
            </w:r>
          </w:p>
        </w:tc>
        <w:tc>
          <w:tcPr>
            <w:tcW w:w="2835" w:type="dxa"/>
          </w:tcPr>
          <w:p w14:paraId="0DE64CF6" w14:textId="77777777" w:rsidR="00EC497C" w:rsidRPr="00531260" w:rsidRDefault="00EC497C" w:rsidP="0050389A">
            <w:pPr>
              <w:jc w:val="center"/>
              <w:rPr>
                <w:rFonts w:ascii="Calibri" w:hAnsi="Calibri" w:cs="Calibri"/>
              </w:rPr>
            </w:pPr>
            <w:r w:rsidRPr="00531260">
              <w:rPr>
                <w:rFonts w:ascii="Calibri" w:hAnsi="Calibri" w:cs="Calibri"/>
              </w:rPr>
              <w:t>820 €</w:t>
            </w:r>
          </w:p>
        </w:tc>
      </w:tr>
      <w:tr w:rsidR="00EC497C" w:rsidRPr="00531260" w14:paraId="0130421C" w14:textId="77777777" w:rsidTr="00EC497C">
        <w:tc>
          <w:tcPr>
            <w:tcW w:w="3969" w:type="dxa"/>
          </w:tcPr>
          <w:p w14:paraId="7EB24726" w14:textId="77777777" w:rsidR="00EC497C" w:rsidRPr="00531260" w:rsidRDefault="00EC497C" w:rsidP="0050389A">
            <w:pPr>
              <w:jc w:val="center"/>
              <w:rPr>
                <w:rFonts w:ascii="Calibri" w:hAnsi="Calibri" w:cs="Calibri"/>
              </w:rPr>
            </w:pPr>
            <w:r w:rsidRPr="00531260">
              <w:rPr>
                <w:rFonts w:ascii="Calibri" w:hAnsi="Calibri" w:cs="Calibri"/>
              </w:rPr>
              <w:t>De 760 001 € à 1 500 000 €</w:t>
            </w:r>
          </w:p>
        </w:tc>
        <w:tc>
          <w:tcPr>
            <w:tcW w:w="3118" w:type="dxa"/>
          </w:tcPr>
          <w:p w14:paraId="18608733" w14:textId="77777777" w:rsidR="00EC497C" w:rsidRPr="00531260" w:rsidRDefault="00EC497C" w:rsidP="0050389A">
            <w:pPr>
              <w:jc w:val="center"/>
              <w:rPr>
                <w:rFonts w:ascii="Calibri" w:hAnsi="Calibri" w:cs="Calibri"/>
              </w:rPr>
            </w:pPr>
            <w:r w:rsidRPr="00531260">
              <w:rPr>
                <w:rFonts w:ascii="Calibri" w:hAnsi="Calibri" w:cs="Calibri"/>
              </w:rPr>
              <w:t>De 760 001 € à 1 500 000 €</w:t>
            </w:r>
          </w:p>
        </w:tc>
        <w:tc>
          <w:tcPr>
            <w:tcW w:w="2835" w:type="dxa"/>
          </w:tcPr>
          <w:p w14:paraId="19CA4E73" w14:textId="77777777" w:rsidR="00EC497C" w:rsidRPr="00531260" w:rsidRDefault="00EC497C" w:rsidP="0050389A">
            <w:pPr>
              <w:jc w:val="center"/>
              <w:rPr>
                <w:rFonts w:ascii="Calibri" w:hAnsi="Calibri" w:cs="Calibri"/>
              </w:rPr>
            </w:pPr>
            <w:r w:rsidRPr="00531260">
              <w:rPr>
                <w:rFonts w:ascii="Calibri" w:hAnsi="Calibri" w:cs="Calibri"/>
              </w:rPr>
              <w:t>1 050 €</w:t>
            </w:r>
          </w:p>
        </w:tc>
      </w:tr>
      <w:tr w:rsidR="00EC497C" w:rsidRPr="00531260" w14:paraId="3B85E264" w14:textId="77777777" w:rsidTr="00EC497C">
        <w:tc>
          <w:tcPr>
            <w:tcW w:w="3969" w:type="dxa"/>
            <w:vAlign w:val="center"/>
          </w:tcPr>
          <w:p w14:paraId="3364E5B8" w14:textId="77777777" w:rsidR="00EC497C" w:rsidRPr="00531260" w:rsidRDefault="00EC497C" w:rsidP="0050389A">
            <w:pPr>
              <w:jc w:val="center"/>
              <w:rPr>
                <w:rFonts w:ascii="Calibri" w:hAnsi="Calibri" w:cs="Calibri"/>
              </w:rPr>
            </w:pPr>
            <w:r w:rsidRPr="00531260">
              <w:rPr>
                <w:rFonts w:ascii="Calibri" w:hAnsi="Calibri" w:cs="Calibri"/>
              </w:rPr>
              <w:t>Au-delà de 1 500 000 €</w:t>
            </w:r>
          </w:p>
        </w:tc>
        <w:tc>
          <w:tcPr>
            <w:tcW w:w="3118" w:type="dxa"/>
            <w:vAlign w:val="center"/>
          </w:tcPr>
          <w:p w14:paraId="40CD8A81" w14:textId="77777777" w:rsidR="00EC497C" w:rsidRPr="00531260" w:rsidRDefault="00EC497C" w:rsidP="0050389A">
            <w:pPr>
              <w:pStyle w:val="Sansinterligne"/>
              <w:jc w:val="center"/>
              <w:rPr>
                <w:rFonts w:ascii="Calibri" w:hAnsi="Calibri" w:cs="Calibri"/>
                <w:sz w:val="22"/>
                <w:szCs w:val="22"/>
              </w:rPr>
            </w:pPr>
            <w:r w:rsidRPr="00531260">
              <w:rPr>
                <w:rFonts w:ascii="Calibri" w:hAnsi="Calibri" w:cs="Calibri"/>
                <w:sz w:val="22"/>
                <w:szCs w:val="22"/>
              </w:rPr>
              <w:t>Au-delà de 1 500 000 €</w:t>
            </w:r>
          </w:p>
        </w:tc>
        <w:tc>
          <w:tcPr>
            <w:tcW w:w="2835" w:type="dxa"/>
          </w:tcPr>
          <w:p w14:paraId="508FE660" w14:textId="77777777" w:rsidR="00EC497C" w:rsidRPr="00531260" w:rsidRDefault="00EC497C" w:rsidP="0050389A">
            <w:pPr>
              <w:pStyle w:val="Sansinterligne"/>
              <w:jc w:val="center"/>
              <w:rPr>
                <w:rFonts w:ascii="Calibri" w:hAnsi="Calibri" w:cs="Calibri"/>
                <w:sz w:val="22"/>
                <w:szCs w:val="22"/>
              </w:rPr>
            </w:pPr>
            <w:r w:rsidRPr="00531260">
              <w:rPr>
                <w:rFonts w:ascii="Calibri" w:hAnsi="Calibri" w:cs="Calibri"/>
                <w:sz w:val="22"/>
                <w:szCs w:val="22"/>
              </w:rPr>
              <w:t>46 € par tranche de 1 500 000</w:t>
            </w:r>
          </w:p>
        </w:tc>
      </w:tr>
    </w:tbl>
    <w:p w14:paraId="6C0045D3" w14:textId="77777777"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1488301A" w14:textId="77777777" w:rsidR="00EC497C" w:rsidRDefault="00EC497C"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p>
    <w:p w14:paraId="2AE6D71B" w14:textId="77D81C59" w:rsidR="00A22E18" w:rsidRPr="00785A48" w:rsidRDefault="000B6789" w:rsidP="00EC497C">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sectPr w:rsidR="00A22E18" w:rsidRPr="00785A48" w:rsidSect="00245F64">
          <w:headerReference w:type="default" r:id="rId9"/>
          <w:footerReference w:type="default" r:id="rId10"/>
          <w:type w:val="continuous"/>
          <w:pgSz w:w="11910" w:h="16840"/>
          <w:pgMar w:top="426" w:right="180" w:bottom="280" w:left="142" w:header="720" w:footer="720" w:gutter="0"/>
          <w:cols w:space="720"/>
        </w:sectPr>
      </w:pPr>
      <w:r>
        <w:rPr>
          <w:rFonts w:ascii="Arial" w:hAnsi="Arial" w:cs="Arial"/>
          <w:b/>
          <w:bCs/>
          <w:u w:val="single"/>
        </w:rPr>
        <w:t>Date d’effet</w:t>
      </w:r>
      <w:r w:rsidRPr="00D14466">
        <w:rPr>
          <w:rFonts w:ascii="Arial" w:hAnsi="Arial" w:cs="Arial"/>
          <w:b/>
          <w:bCs/>
          <w:u w:val="single"/>
        </w:rPr>
        <w:t> :</w:t>
      </w:r>
      <w:r>
        <w:rPr>
          <w:rFonts w:ascii="Arial" w:hAnsi="Arial" w:cs="Arial"/>
        </w:rPr>
        <w:t xml:space="preserve">  …………………</w:t>
      </w:r>
      <w:r w:rsidR="00785A48">
        <w:rPr>
          <w:rFonts w:ascii="Arial" w:hAnsi="Arial" w:cs="Arial"/>
        </w:rPr>
        <w:t>……</w:t>
      </w:r>
      <w:r w:rsidR="0065378E">
        <w:rPr>
          <w:rFonts w:ascii="Arial" w:hAnsi="Arial" w:cs="Arial"/>
        </w:rPr>
        <w:t>…..</w:t>
      </w:r>
    </w:p>
    <w:p w14:paraId="74D6E692" w14:textId="77777777" w:rsidR="00480CF1" w:rsidRDefault="00480CF1" w:rsidP="00463CD9">
      <w:pPr>
        <w:spacing w:line="360" w:lineRule="auto"/>
        <w:sectPr w:rsidR="00480CF1" w:rsidSect="00245F64">
          <w:type w:val="continuous"/>
          <w:pgSz w:w="11910" w:h="16840"/>
          <w:pgMar w:top="260" w:right="180" w:bottom="280" w:left="1560" w:header="720" w:footer="720" w:gutter="0"/>
          <w:cols w:num="3" w:space="4122" w:equalWidth="0">
            <w:col w:w="4664" w:space="1000"/>
            <w:col w:w="1857" w:space="976"/>
            <w:col w:w="3053"/>
          </w:cols>
        </w:sectPr>
      </w:pPr>
    </w:p>
    <w:p w14:paraId="43A7E3A1" w14:textId="363B4421" w:rsidR="007E4E8A" w:rsidRDefault="00785A48" w:rsidP="00463CD9">
      <w:pPr>
        <w:pStyle w:val="Corpsdetexte"/>
        <w:tabs>
          <w:tab w:val="left" w:pos="7296"/>
        </w:tabs>
        <w:spacing w:line="360" w:lineRule="auto"/>
        <w:ind w:right="777"/>
        <w:rPr>
          <w:rFonts w:ascii="Arial" w:hAnsi="Arial" w:cs="Arial"/>
        </w:rPr>
      </w:pPr>
      <w:r>
        <w:rPr>
          <w:rFonts w:ascii="Arial" w:hAnsi="Arial" w:cs="Arial"/>
        </w:rPr>
        <w:t xml:space="preserve">             </w:t>
      </w:r>
      <w:r w:rsidR="002A3F79" w:rsidRPr="002A3F79">
        <w:rPr>
          <w:rFonts w:ascii="Arial" w:hAnsi="Arial" w:cs="Arial"/>
        </w:rPr>
        <w:t>Fait</w:t>
      </w:r>
      <w:r w:rsidR="002A3F79" w:rsidRPr="002A3F79">
        <w:rPr>
          <w:rFonts w:ascii="Arial" w:hAnsi="Arial" w:cs="Arial"/>
          <w:spacing w:val="-1"/>
        </w:rPr>
        <w:t xml:space="preserve"> </w:t>
      </w:r>
      <w:r w:rsidR="002A3F79" w:rsidRPr="002A3F79">
        <w:rPr>
          <w:rFonts w:ascii="Arial" w:hAnsi="Arial" w:cs="Arial"/>
        </w:rPr>
        <w:t>à ……………………………………,</w:t>
      </w:r>
      <w:r w:rsidR="002A3F79" w:rsidRPr="002A3F79">
        <w:rPr>
          <w:rFonts w:ascii="Arial" w:hAnsi="Arial" w:cs="Arial"/>
          <w:spacing w:val="-2"/>
        </w:rPr>
        <w:t xml:space="preserve"> </w:t>
      </w:r>
      <w:r w:rsidR="002A3F79" w:rsidRPr="002A3F79">
        <w:rPr>
          <w:rFonts w:ascii="Arial" w:hAnsi="Arial" w:cs="Arial"/>
        </w:rPr>
        <w:t>le …………………………</w:t>
      </w:r>
      <w:r w:rsidR="002A3F79" w:rsidRPr="002A3F79">
        <w:rPr>
          <w:rFonts w:ascii="Arial" w:hAnsi="Arial" w:cs="Arial"/>
        </w:rPr>
        <w:tab/>
      </w:r>
    </w:p>
    <w:p w14:paraId="2040AB69" w14:textId="77777777" w:rsidR="002A3F79" w:rsidRDefault="00BD55D8" w:rsidP="00BD55D8">
      <w:pPr>
        <w:pStyle w:val="Corpsdetexte"/>
        <w:tabs>
          <w:tab w:val="left" w:pos="7296"/>
        </w:tabs>
        <w:spacing w:line="360" w:lineRule="auto"/>
        <w:ind w:right="777"/>
        <w:rPr>
          <w:rFonts w:ascii="Arial" w:hAnsi="Arial" w:cs="Arial"/>
        </w:rPr>
      </w:pPr>
      <w:r>
        <w:rPr>
          <w:rFonts w:ascii="Arial" w:hAnsi="Arial" w:cs="Arial"/>
        </w:rPr>
        <w:t xml:space="preserve">             </w:t>
      </w:r>
      <w:r w:rsidR="00463CD9">
        <w:rPr>
          <w:rFonts w:ascii="Arial" w:hAnsi="Arial" w:cs="Arial"/>
        </w:rPr>
        <w:t>Signature de l’autorité territoriale</w:t>
      </w:r>
    </w:p>
    <w:p w14:paraId="3E9E9828" w14:textId="77777777" w:rsidR="00333740" w:rsidRDefault="00333740" w:rsidP="007E4E8A">
      <w:pPr>
        <w:ind w:left="709" w:right="777"/>
        <w:rPr>
          <w:rFonts w:ascii="Arial" w:hAnsi="Arial" w:cs="Arial"/>
          <w:i/>
          <w:sz w:val="20"/>
          <w:szCs w:val="20"/>
        </w:rPr>
      </w:pPr>
    </w:p>
    <w:p w14:paraId="524B1B04" w14:textId="018C23C5" w:rsidR="007E4E8A" w:rsidRDefault="007E4E8A" w:rsidP="007E4E8A">
      <w:pPr>
        <w:ind w:left="709" w:right="777"/>
        <w:rPr>
          <w:rFonts w:ascii="Arial" w:hAnsi="Arial" w:cs="Arial"/>
          <w:i/>
          <w:sz w:val="20"/>
          <w:szCs w:val="20"/>
        </w:rPr>
      </w:pPr>
    </w:p>
    <w:p w14:paraId="7844FAE7" w14:textId="095A74EC" w:rsidR="00F522EC" w:rsidRDefault="00F522EC" w:rsidP="007E4E8A">
      <w:pPr>
        <w:ind w:left="709" w:right="777"/>
        <w:rPr>
          <w:rFonts w:ascii="Arial" w:hAnsi="Arial" w:cs="Arial"/>
          <w:i/>
          <w:sz w:val="20"/>
          <w:szCs w:val="20"/>
        </w:rPr>
      </w:pPr>
    </w:p>
    <w:p w14:paraId="6E442A45" w14:textId="48167D2C" w:rsidR="00F522EC" w:rsidRDefault="00F522EC" w:rsidP="007E4E8A">
      <w:pPr>
        <w:ind w:left="709" w:right="777"/>
        <w:rPr>
          <w:rFonts w:ascii="Arial" w:hAnsi="Arial" w:cs="Arial"/>
          <w:i/>
          <w:sz w:val="20"/>
          <w:szCs w:val="20"/>
        </w:rPr>
      </w:pPr>
    </w:p>
    <w:p w14:paraId="21CCCE3D" w14:textId="4910B80D" w:rsidR="00F522EC" w:rsidRDefault="00F522EC" w:rsidP="007E4E8A">
      <w:pPr>
        <w:ind w:left="709" w:right="777"/>
        <w:rPr>
          <w:rFonts w:ascii="Arial" w:hAnsi="Arial" w:cs="Arial"/>
          <w:i/>
          <w:sz w:val="20"/>
          <w:szCs w:val="20"/>
        </w:rPr>
      </w:pPr>
    </w:p>
    <w:p w14:paraId="2171A5EA" w14:textId="1FF6B7A9" w:rsidR="00F522EC" w:rsidRDefault="00F522EC" w:rsidP="007E4E8A">
      <w:pPr>
        <w:ind w:left="709" w:right="777"/>
        <w:rPr>
          <w:rFonts w:ascii="Arial" w:hAnsi="Arial" w:cs="Arial"/>
          <w:i/>
          <w:sz w:val="20"/>
          <w:szCs w:val="20"/>
        </w:rPr>
      </w:pPr>
    </w:p>
    <w:p w14:paraId="56F083F8" w14:textId="64039610" w:rsidR="00F522EC" w:rsidRDefault="00F522EC" w:rsidP="007E4E8A">
      <w:pPr>
        <w:ind w:left="709" w:right="777"/>
        <w:rPr>
          <w:rFonts w:ascii="Arial" w:hAnsi="Arial" w:cs="Arial"/>
          <w:i/>
          <w:sz w:val="20"/>
          <w:szCs w:val="20"/>
        </w:rPr>
      </w:pPr>
    </w:p>
    <w:p w14:paraId="78A0BCE6" w14:textId="497BC2A2" w:rsidR="00F522EC" w:rsidRDefault="00F522EC" w:rsidP="007E4E8A">
      <w:pPr>
        <w:ind w:left="709" w:right="777"/>
        <w:rPr>
          <w:rFonts w:ascii="Arial" w:hAnsi="Arial" w:cs="Arial"/>
          <w:i/>
          <w:sz w:val="20"/>
          <w:szCs w:val="20"/>
        </w:rPr>
      </w:pPr>
    </w:p>
    <w:p w14:paraId="2BE69D17" w14:textId="492545D5" w:rsidR="00F522EC" w:rsidRDefault="00F522EC" w:rsidP="007E4E8A">
      <w:pPr>
        <w:ind w:left="709" w:right="777"/>
        <w:rPr>
          <w:rFonts w:ascii="Arial" w:hAnsi="Arial" w:cs="Arial"/>
          <w:i/>
          <w:sz w:val="20"/>
          <w:szCs w:val="20"/>
        </w:rPr>
      </w:pPr>
    </w:p>
    <w:p w14:paraId="35F4EB59" w14:textId="0FF58F8D" w:rsidR="00F522EC" w:rsidRDefault="00F522EC" w:rsidP="007E4E8A">
      <w:pPr>
        <w:ind w:left="709" w:right="777"/>
        <w:rPr>
          <w:rFonts w:ascii="Arial" w:hAnsi="Arial" w:cs="Arial"/>
          <w:i/>
          <w:sz w:val="20"/>
          <w:szCs w:val="20"/>
        </w:rPr>
      </w:pPr>
    </w:p>
    <w:p w14:paraId="5A90BC02" w14:textId="7D8983DF" w:rsidR="00F522EC" w:rsidRDefault="00F522EC" w:rsidP="007E4E8A">
      <w:pPr>
        <w:ind w:left="709" w:right="777"/>
        <w:rPr>
          <w:rFonts w:ascii="Arial" w:hAnsi="Arial" w:cs="Arial"/>
          <w:i/>
          <w:sz w:val="20"/>
          <w:szCs w:val="20"/>
        </w:rPr>
      </w:pPr>
    </w:p>
    <w:p w14:paraId="1F94F87A" w14:textId="310D1A8A" w:rsidR="00F522EC" w:rsidRDefault="00F522EC" w:rsidP="007E4E8A">
      <w:pPr>
        <w:ind w:left="709" w:right="777"/>
        <w:rPr>
          <w:rFonts w:ascii="Arial" w:hAnsi="Arial" w:cs="Arial"/>
          <w:i/>
          <w:sz w:val="20"/>
          <w:szCs w:val="20"/>
        </w:rPr>
      </w:pPr>
    </w:p>
    <w:p w14:paraId="5EBFFF24" w14:textId="06ABEE36" w:rsidR="00F522EC" w:rsidRDefault="00F522EC" w:rsidP="007E4E8A">
      <w:pPr>
        <w:ind w:left="709" w:right="777"/>
        <w:rPr>
          <w:rFonts w:ascii="Arial" w:hAnsi="Arial" w:cs="Arial"/>
          <w:i/>
          <w:sz w:val="20"/>
          <w:szCs w:val="20"/>
        </w:rPr>
      </w:pPr>
    </w:p>
    <w:p w14:paraId="0CDE30D6" w14:textId="43044374" w:rsidR="00F522EC" w:rsidRDefault="00F522EC" w:rsidP="007E4E8A">
      <w:pPr>
        <w:ind w:left="709" w:right="777"/>
        <w:rPr>
          <w:rFonts w:ascii="Arial" w:hAnsi="Arial" w:cs="Arial"/>
          <w:i/>
          <w:sz w:val="20"/>
          <w:szCs w:val="20"/>
        </w:rPr>
      </w:pPr>
    </w:p>
    <w:p w14:paraId="159C9E72" w14:textId="34774512" w:rsidR="00F522EC" w:rsidRDefault="00F522EC" w:rsidP="007E4E8A">
      <w:pPr>
        <w:ind w:left="709" w:right="777"/>
        <w:rPr>
          <w:rFonts w:ascii="Arial" w:hAnsi="Arial" w:cs="Arial"/>
          <w:i/>
          <w:sz w:val="20"/>
          <w:szCs w:val="20"/>
        </w:rPr>
      </w:pPr>
    </w:p>
    <w:p w14:paraId="5EA18C38" w14:textId="768D2186" w:rsidR="00F522EC" w:rsidRDefault="00F522EC" w:rsidP="007E4E8A">
      <w:pPr>
        <w:ind w:left="709" w:right="777"/>
        <w:rPr>
          <w:rFonts w:ascii="Arial" w:hAnsi="Arial" w:cs="Arial"/>
          <w:i/>
          <w:sz w:val="20"/>
          <w:szCs w:val="20"/>
        </w:rPr>
      </w:pPr>
    </w:p>
    <w:p w14:paraId="1F4C0213" w14:textId="41F85810" w:rsidR="00F522EC" w:rsidRDefault="00F522EC" w:rsidP="007E4E8A">
      <w:pPr>
        <w:ind w:left="709" w:right="777"/>
        <w:rPr>
          <w:rFonts w:ascii="Arial" w:hAnsi="Arial" w:cs="Arial"/>
          <w:i/>
          <w:sz w:val="20"/>
          <w:szCs w:val="20"/>
        </w:rPr>
      </w:pPr>
    </w:p>
    <w:p w14:paraId="6F572A63" w14:textId="7E020A3A" w:rsidR="00F522EC" w:rsidRDefault="00F522EC" w:rsidP="007E4E8A">
      <w:pPr>
        <w:ind w:left="709" w:right="777"/>
        <w:rPr>
          <w:rFonts w:ascii="Arial" w:hAnsi="Arial" w:cs="Arial"/>
          <w:i/>
          <w:sz w:val="20"/>
          <w:szCs w:val="20"/>
        </w:rPr>
      </w:pPr>
    </w:p>
    <w:p w14:paraId="2F4F536C" w14:textId="114035EC" w:rsidR="00F522EC" w:rsidRDefault="00F522EC" w:rsidP="007E4E8A">
      <w:pPr>
        <w:ind w:left="709" w:right="777"/>
        <w:rPr>
          <w:rFonts w:ascii="Arial" w:hAnsi="Arial" w:cs="Arial"/>
          <w:i/>
          <w:sz w:val="20"/>
          <w:szCs w:val="20"/>
        </w:rPr>
      </w:pPr>
    </w:p>
    <w:p w14:paraId="6761507C" w14:textId="1B599644" w:rsidR="00F522EC" w:rsidRDefault="00F522EC" w:rsidP="007E4E8A">
      <w:pPr>
        <w:ind w:left="709" w:right="777"/>
        <w:rPr>
          <w:rFonts w:ascii="Arial" w:hAnsi="Arial" w:cs="Arial"/>
          <w:i/>
          <w:sz w:val="20"/>
          <w:szCs w:val="20"/>
        </w:rPr>
      </w:pPr>
    </w:p>
    <w:p w14:paraId="56E673C9" w14:textId="77777777" w:rsidR="00F522EC" w:rsidRDefault="00F522EC" w:rsidP="007E4E8A">
      <w:pPr>
        <w:ind w:left="709" w:right="777"/>
        <w:rPr>
          <w:rFonts w:ascii="Arial" w:hAnsi="Arial" w:cs="Arial"/>
          <w:i/>
          <w:sz w:val="20"/>
          <w:szCs w:val="20"/>
        </w:rPr>
      </w:pPr>
    </w:p>
    <w:p w14:paraId="4844BA09" w14:textId="77777777" w:rsidR="00333740" w:rsidRDefault="00333740" w:rsidP="00B05E12">
      <w:pPr>
        <w:jc w:val="center"/>
        <w:rPr>
          <w:b/>
          <w:bCs/>
          <w:sz w:val="18"/>
        </w:rPr>
      </w:pPr>
    </w:p>
    <w:p w14:paraId="256353FB" w14:textId="77777777" w:rsidR="00222050" w:rsidRDefault="00222050" w:rsidP="00222050">
      <w:pPr>
        <w:ind w:left="709" w:right="1060"/>
        <w:jc w:val="center"/>
        <w:rPr>
          <w:b/>
          <w:bCs/>
          <w:sz w:val="18"/>
        </w:rPr>
      </w:pPr>
      <w:r>
        <w:rPr>
          <w:b/>
          <w:bCs/>
          <w:sz w:val="18"/>
        </w:rPr>
        <w:t>Mentions sur vos droits informatique et libertés</w:t>
      </w:r>
    </w:p>
    <w:p w14:paraId="6E998D03" w14:textId="77777777" w:rsidR="00222050" w:rsidRDefault="00222050" w:rsidP="00222050">
      <w:pPr>
        <w:ind w:left="709" w:right="1060"/>
        <w:jc w:val="center"/>
        <w:rPr>
          <w:b/>
          <w:bCs/>
          <w:sz w:val="18"/>
        </w:rPr>
      </w:pPr>
    </w:p>
    <w:p w14:paraId="13C39B36" w14:textId="77777777" w:rsidR="00222050" w:rsidRDefault="00222050" w:rsidP="00222050">
      <w:pPr>
        <w:ind w:left="709" w:right="1060"/>
        <w:rPr>
          <w:sz w:val="18"/>
        </w:rPr>
      </w:pPr>
    </w:p>
    <w:p w14:paraId="5226287A" w14:textId="77777777" w:rsidR="00222050" w:rsidRDefault="00222050" w:rsidP="00222050">
      <w:pPr>
        <w:ind w:left="709" w:right="1060"/>
        <w:jc w:val="both"/>
        <w:rPr>
          <w:sz w:val="18"/>
        </w:rPr>
      </w:pPr>
      <w:r>
        <w:rPr>
          <w:sz w:val="18"/>
        </w:rPr>
        <w:t xml:space="preserve">Le responsable du traitement est le Centre de Gestion de l’Aveyron représenté par son Président. </w:t>
      </w:r>
    </w:p>
    <w:p w14:paraId="1CEBC390" w14:textId="77777777" w:rsidR="00222050" w:rsidRDefault="00222050" w:rsidP="00222050">
      <w:pPr>
        <w:ind w:left="709" w:right="1060"/>
        <w:jc w:val="both"/>
        <w:rPr>
          <w:sz w:val="18"/>
        </w:rPr>
      </w:pPr>
    </w:p>
    <w:p w14:paraId="1BBA2CBA" w14:textId="77777777" w:rsidR="00222050" w:rsidRDefault="00222050" w:rsidP="00222050">
      <w:pPr>
        <w:ind w:left="709" w:right="1060"/>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5052A500" w14:textId="77777777" w:rsidR="00222050" w:rsidRDefault="00222050" w:rsidP="00222050">
      <w:pPr>
        <w:ind w:left="709" w:right="1060"/>
        <w:jc w:val="both"/>
        <w:rPr>
          <w:sz w:val="18"/>
        </w:rPr>
      </w:pPr>
    </w:p>
    <w:p w14:paraId="0D90CB24" w14:textId="77777777" w:rsidR="00222050" w:rsidRDefault="00222050" w:rsidP="00222050">
      <w:pPr>
        <w:ind w:left="709" w:right="1060"/>
        <w:jc w:val="both"/>
        <w:rPr>
          <w:sz w:val="18"/>
        </w:rPr>
      </w:pPr>
      <w:r>
        <w:rPr>
          <w:sz w:val="18"/>
        </w:rPr>
        <w:t>Les destinataires de tout ou partie des données sont : le service interne du centre de gestion en charge du Pôle ressources humaines et conseil statutaire.</w:t>
      </w:r>
    </w:p>
    <w:p w14:paraId="06CDEB44" w14:textId="77777777" w:rsidR="00222050" w:rsidRDefault="00222050" w:rsidP="00222050">
      <w:pPr>
        <w:ind w:left="709" w:right="1060"/>
        <w:jc w:val="both"/>
        <w:rPr>
          <w:sz w:val="18"/>
        </w:rPr>
      </w:pPr>
    </w:p>
    <w:p w14:paraId="24C7323F" w14:textId="77777777" w:rsidR="00222050" w:rsidRDefault="00222050" w:rsidP="00222050">
      <w:pPr>
        <w:ind w:left="709" w:right="1060"/>
        <w:jc w:val="both"/>
        <w:rPr>
          <w:sz w:val="18"/>
        </w:rPr>
      </w:pPr>
      <w:r>
        <w:rPr>
          <w:sz w:val="18"/>
        </w:rPr>
        <w:t>Ces données seront conservées en gestion courante au maximum pendant 15 mois puis en archivage intermédiaire dans le dossier individuel de l’agent 80 ans à compter de sa date de naissance.</w:t>
      </w:r>
    </w:p>
    <w:p w14:paraId="08DF6A9D" w14:textId="77777777" w:rsidR="00222050" w:rsidRDefault="00222050" w:rsidP="00222050">
      <w:pPr>
        <w:ind w:left="709" w:right="1060"/>
        <w:jc w:val="both"/>
        <w:rPr>
          <w:sz w:val="18"/>
        </w:rPr>
      </w:pPr>
    </w:p>
    <w:p w14:paraId="7E09C6B3" w14:textId="77777777" w:rsidR="00222050" w:rsidRDefault="00222050" w:rsidP="00222050">
      <w:pPr>
        <w:ind w:left="709" w:right="1060"/>
        <w:jc w:val="both"/>
        <w:rPr>
          <w:sz w:val="18"/>
        </w:rPr>
      </w:pPr>
      <w:r>
        <w:rPr>
          <w:sz w:val="18"/>
        </w:rPr>
        <w:t>Vous disposez des droits d’accès, de rectification, d’effacement, de limitation et de retrait du consentement du traitement des données à caractère personnel vous concernant.</w:t>
      </w:r>
    </w:p>
    <w:p w14:paraId="5818ADAC" w14:textId="77777777" w:rsidR="00222050" w:rsidRDefault="00222050" w:rsidP="00222050">
      <w:pPr>
        <w:ind w:left="709" w:right="1060"/>
        <w:jc w:val="both"/>
        <w:rPr>
          <w:sz w:val="18"/>
        </w:rPr>
      </w:pPr>
    </w:p>
    <w:p w14:paraId="45CB8802" w14:textId="77777777" w:rsidR="00222050" w:rsidRDefault="00222050" w:rsidP="00222050">
      <w:pPr>
        <w:ind w:left="709" w:right="1060"/>
        <w:jc w:val="both"/>
        <w:rPr>
          <w:sz w:val="18"/>
        </w:rPr>
      </w:pPr>
      <w:r>
        <w:rPr>
          <w:sz w:val="18"/>
        </w:rPr>
        <w:t>Pour exercer vos droits ou pour toute question sur le traitement de vos données dans ce dispositif, vous pouvez contacter le référent RGPD du CDG 12 :</w:t>
      </w:r>
    </w:p>
    <w:p w14:paraId="2C2D9D7A" w14:textId="77777777" w:rsidR="00222050" w:rsidRDefault="00222050" w:rsidP="00222050">
      <w:pPr>
        <w:ind w:left="709" w:right="1060"/>
        <w:jc w:val="both"/>
        <w:rPr>
          <w:sz w:val="18"/>
        </w:rPr>
      </w:pPr>
    </w:p>
    <w:p w14:paraId="6CFF289C" w14:textId="77777777" w:rsidR="00222050" w:rsidRDefault="00222050" w:rsidP="00222050">
      <w:pPr>
        <w:ind w:left="709" w:right="1060"/>
        <w:jc w:val="both"/>
        <w:rPr>
          <w:sz w:val="18"/>
        </w:rPr>
      </w:pPr>
      <w:r>
        <w:rPr>
          <w:sz w:val="18"/>
        </w:rPr>
        <w:t>- par mail : archiviste@cdg-12.fr</w:t>
      </w:r>
    </w:p>
    <w:p w14:paraId="13C5D9F7" w14:textId="77777777" w:rsidR="00222050" w:rsidRDefault="00222050" w:rsidP="00222050">
      <w:pPr>
        <w:ind w:left="709" w:right="1060"/>
        <w:jc w:val="both"/>
        <w:rPr>
          <w:sz w:val="18"/>
        </w:rPr>
      </w:pPr>
      <w:r>
        <w:rPr>
          <w:sz w:val="18"/>
        </w:rPr>
        <w:t>- par voie postale : Centre de Gestion de l’Aveyron à l’attention du référent RGPD,</w:t>
      </w:r>
    </w:p>
    <w:p w14:paraId="2847A4C9" w14:textId="77777777" w:rsidR="00222050" w:rsidRDefault="00222050" w:rsidP="00222050">
      <w:pPr>
        <w:ind w:left="709" w:right="1060"/>
        <w:jc w:val="both"/>
        <w:rPr>
          <w:sz w:val="18"/>
        </w:rPr>
      </w:pPr>
      <w:r>
        <w:rPr>
          <w:sz w:val="18"/>
        </w:rPr>
        <w:t>Immeuble Le Sérial - 10 rue du Faubourg Lo Barri -12000 RODEZ</w:t>
      </w:r>
    </w:p>
    <w:p w14:paraId="5F897481" w14:textId="77777777" w:rsidR="00222050" w:rsidRDefault="00222050" w:rsidP="00222050">
      <w:pPr>
        <w:ind w:left="709" w:right="1060"/>
        <w:jc w:val="both"/>
        <w:rPr>
          <w:sz w:val="18"/>
        </w:rPr>
      </w:pPr>
    </w:p>
    <w:p w14:paraId="37476FA0" w14:textId="77777777" w:rsidR="00222050" w:rsidRDefault="00222050" w:rsidP="00222050">
      <w:pPr>
        <w:ind w:left="709" w:right="1060"/>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A922324" w14:textId="77777777" w:rsidR="00222050" w:rsidRDefault="00222050" w:rsidP="00222050">
      <w:pPr>
        <w:ind w:left="709" w:right="1060"/>
      </w:pPr>
    </w:p>
    <w:p w14:paraId="7945A0AC" w14:textId="77777777" w:rsidR="00333740" w:rsidRDefault="00333740" w:rsidP="00222050">
      <w:pPr>
        <w:ind w:left="709" w:right="1060"/>
      </w:pPr>
    </w:p>
    <w:p w14:paraId="35D69D6E" w14:textId="77777777" w:rsidR="00333740" w:rsidRDefault="00333740" w:rsidP="00222050">
      <w:pPr>
        <w:ind w:left="709" w:right="1060"/>
      </w:pPr>
    </w:p>
    <w:p w14:paraId="2929782A" w14:textId="61F4D1FD" w:rsidR="00333740" w:rsidRDefault="00333740" w:rsidP="00222050">
      <w:pPr>
        <w:ind w:left="709" w:right="1060"/>
      </w:pPr>
    </w:p>
    <w:p w14:paraId="0828CD4D" w14:textId="2058B627" w:rsidR="00F522EC" w:rsidRDefault="00F522EC" w:rsidP="00222050">
      <w:pPr>
        <w:ind w:left="709" w:right="1060"/>
      </w:pPr>
    </w:p>
    <w:p w14:paraId="0650ABF8" w14:textId="5FE20C9A" w:rsidR="00F522EC" w:rsidRDefault="00F522EC" w:rsidP="00222050">
      <w:pPr>
        <w:ind w:left="709" w:right="1060"/>
      </w:pPr>
    </w:p>
    <w:p w14:paraId="7E0A6308" w14:textId="6F862A1B" w:rsidR="00F522EC" w:rsidRDefault="00F522EC" w:rsidP="00222050">
      <w:pPr>
        <w:ind w:left="709" w:right="1060"/>
      </w:pPr>
    </w:p>
    <w:p w14:paraId="090A45EC" w14:textId="6A2928CD" w:rsidR="00F522EC" w:rsidRDefault="00F522EC" w:rsidP="00222050">
      <w:pPr>
        <w:ind w:left="709" w:right="1060"/>
      </w:pPr>
    </w:p>
    <w:p w14:paraId="480F37E8" w14:textId="0AE0ADA7" w:rsidR="00F522EC" w:rsidRDefault="00F522EC" w:rsidP="00222050">
      <w:pPr>
        <w:ind w:left="709" w:right="1060"/>
      </w:pPr>
    </w:p>
    <w:p w14:paraId="6872A87F" w14:textId="11B6FF42" w:rsidR="00F522EC" w:rsidRDefault="00F522EC" w:rsidP="00222050">
      <w:pPr>
        <w:ind w:left="709" w:right="1060"/>
      </w:pPr>
    </w:p>
    <w:p w14:paraId="346B48C4" w14:textId="12D34D1D" w:rsidR="00F522EC" w:rsidRDefault="00F522EC" w:rsidP="00222050">
      <w:pPr>
        <w:ind w:left="709" w:right="1060"/>
      </w:pPr>
    </w:p>
    <w:p w14:paraId="4F421711" w14:textId="357BD698" w:rsidR="00F522EC" w:rsidRDefault="00F522EC" w:rsidP="00222050">
      <w:pPr>
        <w:ind w:left="709" w:right="1060"/>
      </w:pPr>
    </w:p>
    <w:p w14:paraId="6AE462E0" w14:textId="56B22D86" w:rsidR="00F522EC" w:rsidRDefault="00F522EC" w:rsidP="00222050">
      <w:pPr>
        <w:ind w:left="709" w:right="1060"/>
      </w:pPr>
    </w:p>
    <w:p w14:paraId="0C895B27" w14:textId="0C7AA91C" w:rsidR="00F522EC" w:rsidRDefault="00F522EC" w:rsidP="00222050">
      <w:pPr>
        <w:ind w:left="709" w:right="1060"/>
      </w:pPr>
    </w:p>
    <w:p w14:paraId="58B644A7" w14:textId="63749E52" w:rsidR="00F522EC" w:rsidRDefault="00F522EC" w:rsidP="00222050">
      <w:pPr>
        <w:ind w:left="709" w:right="1060"/>
      </w:pPr>
    </w:p>
    <w:p w14:paraId="0BEA9FF6" w14:textId="4307509F" w:rsidR="00F522EC" w:rsidRDefault="00F522EC" w:rsidP="00222050">
      <w:pPr>
        <w:ind w:left="709" w:right="1060"/>
      </w:pPr>
    </w:p>
    <w:p w14:paraId="0AACBCB5" w14:textId="1FD0102C" w:rsidR="00F522EC" w:rsidRDefault="00F522EC" w:rsidP="00222050">
      <w:pPr>
        <w:ind w:left="709" w:right="1060"/>
      </w:pPr>
    </w:p>
    <w:p w14:paraId="0C09261A" w14:textId="56077D2C" w:rsidR="00F522EC" w:rsidRDefault="00F522EC" w:rsidP="00222050">
      <w:pPr>
        <w:ind w:left="709" w:right="1060"/>
      </w:pPr>
    </w:p>
    <w:p w14:paraId="7859F6FE" w14:textId="2E6571B3" w:rsidR="00F522EC" w:rsidRDefault="00F522EC" w:rsidP="00222050">
      <w:pPr>
        <w:ind w:left="709" w:right="1060"/>
      </w:pPr>
    </w:p>
    <w:p w14:paraId="04C7AA96" w14:textId="7AE7E5B3" w:rsidR="00F522EC" w:rsidRDefault="00F522EC" w:rsidP="00222050">
      <w:pPr>
        <w:ind w:left="709" w:right="1060"/>
      </w:pPr>
    </w:p>
    <w:p w14:paraId="2D64007C" w14:textId="707363A5" w:rsidR="00F522EC" w:rsidRDefault="00F522EC" w:rsidP="00222050">
      <w:pPr>
        <w:ind w:left="709" w:right="1060"/>
      </w:pPr>
    </w:p>
    <w:p w14:paraId="15C29F8A" w14:textId="666F2881" w:rsidR="00F522EC" w:rsidRDefault="00F522EC" w:rsidP="00222050">
      <w:pPr>
        <w:ind w:left="709" w:right="1060"/>
      </w:pPr>
    </w:p>
    <w:p w14:paraId="5171BF9E" w14:textId="77777777" w:rsidR="00F522EC" w:rsidRDefault="00F522EC" w:rsidP="00222050">
      <w:pPr>
        <w:ind w:left="709" w:right="1060"/>
      </w:pPr>
    </w:p>
    <w:p w14:paraId="6963C47E" w14:textId="77777777" w:rsidR="00333740" w:rsidRDefault="00333740" w:rsidP="00EC497C">
      <w:pPr>
        <w:ind w:right="1060"/>
      </w:pPr>
    </w:p>
    <w:p w14:paraId="29C73D56" w14:textId="77777777" w:rsidR="00333740" w:rsidRDefault="00333740" w:rsidP="00222050">
      <w:pPr>
        <w:ind w:left="709" w:right="1060"/>
      </w:pPr>
    </w:p>
    <w:p w14:paraId="1CAD1713" w14:textId="3C795D92" w:rsidR="00333740" w:rsidRPr="00245F64" w:rsidRDefault="00333740" w:rsidP="00333740">
      <w:pPr>
        <w:tabs>
          <w:tab w:val="left" w:pos="993"/>
        </w:tabs>
        <w:ind w:left="993" w:right="777"/>
        <w:rPr>
          <w:rFonts w:ascii="Arial" w:hAnsi="Arial" w:cs="Arial"/>
          <w:i/>
          <w:sz w:val="20"/>
          <w:szCs w:val="20"/>
        </w:rPr>
      </w:pPr>
      <w:r w:rsidRPr="00245F64">
        <w:rPr>
          <w:rFonts w:ascii="Arial" w:hAnsi="Arial" w:cs="Arial"/>
          <w:i/>
          <w:sz w:val="20"/>
          <w:szCs w:val="20"/>
        </w:rPr>
        <w:t>Rappel : Les dossiers de saisine du C</w:t>
      </w:r>
      <w:r>
        <w:rPr>
          <w:rFonts w:ascii="Arial" w:hAnsi="Arial" w:cs="Arial"/>
          <w:i/>
          <w:sz w:val="20"/>
          <w:szCs w:val="20"/>
        </w:rPr>
        <w:t>S</w:t>
      </w:r>
      <w:r w:rsidRPr="00245F64">
        <w:rPr>
          <w:rFonts w:ascii="Arial" w:hAnsi="Arial" w:cs="Arial"/>
          <w:i/>
          <w:sz w:val="20"/>
          <w:szCs w:val="20"/>
        </w:rPr>
        <w:t xml:space="preserve">T doivent </w:t>
      </w:r>
      <w:r w:rsidRPr="00BD183E">
        <w:rPr>
          <w:rFonts w:ascii="Arial" w:hAnsi="Arial" w:cs="Arial"/>
          <w:bCs/>
          <w:i/>
          <w:sz w:val="20"/>
          <w:szCs w:val="20"/>
        </w:rPr>
        <w:t>parvenir</w:t>
      </w:r>
      <w:r w:rsidRPr="00245F64">
        <w:rPr>
          <w:rFonts w:ascii="Arial" w:hAnsi="Arial" w:cs="Arial"/>
          <w:b/>
          <w:i/>
          <w:sz w:val="20"/>
          <w:szCs w:val="20"/>
        </w:rPr>
        <w:t xml:space="preserve"> </w:t>
      </w:r>
      <w:r w:rsidRPr="00245F64">
        <w:rPr>
          <w:rFonts w:ascii="Arial" w:hAnsi="Arial" w:cs="Arial"/>
          <w:i/>
          <w:sz w:val="20"/>
          <w:szCs w:val="20"/>
        </w:rPr>
        <w:t xml:space="preserve">au CDG12 deux semaines avant la séance. Ils </w:t>
      </w:r>
      <w:r w:rsidR="00F522EC">
        <w:rPr>
          <w:rFonts w:ascii="Arial" w:hAnsi="Arial" w:cs="Arial"/>
          <w:i/>
          <w:sz w:val="20"/>
          <w:szCs w:val="20"/>
        </w:rPr>
        <w:t>doivent</w:t>
      </w:r>
      <w:r w:rsidRPr="00245F64">
        <w:rPr>
          <w:rFonts w:ascii="Arial" w:hAnsi="Arial" w:cs="Arial"/>
          <w:i/>
          <w:sz w:val="20"/>
          <w:szCs w:val="20"/>
        </w:rPr>
        <w:t xml:space="preserve"> être envoyés par mail : </w:t>
      </w:r>
      <w:hyperlink r:id="rId11" w:history="1">
        <w:r w:rsidRPr="00245F64">
          <w:rPr>
            <w:rStyle w:val="Lienhypertexte"/>
            <w:rFonts w:ascii="Arial" w:hAnsi="Arial" w:cs="Arial"/>
            <w:i/>
            <w:sz w:val="20"/>
            <w:szCs w:val="20"/>
          </w:rPr>
          <w:t>romain.bouat@cdg-12.fr</w:t>
        </w:r>
      </w:hyperlink>
    </w:p>
    <w:p w14:paraId="621FBB7D" w14:textId="63823254" w:rsidR="00B05E12" w:rsidRPr="00EC497C" w:rsidRDefault="00333740" w:rsidP="00EC497C">
      <w:pPr>
        <w:ind w:left="709" w:right="777"/>
        <w:jc w:val="right"/>
        <w:rPr>
          <w:rFonts w:ascii="Arial" w:hAnsi="Arial" w:cs="Arial"/>
          <w:i/>
          <w:sz w:val="20"/>
          <w:szCs w:val="20"/>
        </w:rPr>
      </w:pPr>
      <w:r w:rsidRPr="00245F64">
        <w:rPr>
          <w:rFonts w:ascii="Arial" w:hAnsi="Arial" w:cs="Arial"/>
          <w:i/>
          <w:sz w:val="20"/>
          <w:szCs w:val="20"/>
        </w:rPr>
        <w:t>Mise à jour le 0</w:t>
      </w:r>
      <w:r>
        <w:rPr>
          <w:rFonts w:ascii="Arial" w:hAnsi="Arial" w:cs="Arial"/>
          <w:i/>
          <w:sz w:val="20"/>
          <w:szCs w:val="20"/>
        </w:rPr>
        <w:t>1/</w:t>
      </w:r>
      <w:r w:rsidR="00EC497C">
        <w:rPr>
          <w:rFonts w:ascii="Arial" w:hAnsi="Arial" w:cs="Arial"/>
          <w:i/>
          <w:sz w:val="20"/>
          <w:szCs w:val="20"/>
        </w:rPr>
        <w:t>0</w:t>
      </w:r>
      <w:r w:rsidR="00E833AE">
        <w:rPr>
          <w:rFonts w:ascii="Arial" w:hAnsi="Arial" w:cs="Arial"/>
          <w:i/>
          <w:sz w:val="20"/>
          <w:szCs w:val="20"/>
        </w:rPr>
        <w:t>8</w:t>
      </w:r>
      <w:r w:rsidR="00EC497C">
        <w:rPr>
          <w:rFonts w:ascii="Arial" w:hAnsi="Arial" w:cs="Arial"/>
          <w:i/>
          <w:sz w:val="20"/>
          <w:szCs w:val="20"/>
        </w:rPr>
        <w:t>/2025</w:t>
      </w:r>
    </w:p>
    <w:sectPr w:rsidR="00B05E12" w:rsidRPr="00EC497C">
      <w:type w:val="continuous"/>
      <w:pgSz w:w="11910" w:h="16840"/>
      <w:pgMar w:top="260" w:right="1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B8BB" w14:textId="77777777" w:rsidR="00245F64" w:rsidRDefault="00245F64" w:rsidP="00245F64">
      <w:r>
        <w:separator/>
      </w:r>
    </w:p>
  </w:endnote>
  <w:endnote w:type="continuationSeparator" w:id="0">
    <w:p w14:paraId="1C5748B4" w14:textId="77777777" w:rsidR="00245F64" w:rsidRDefault="00245F64" w:rsidP="002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661259"/>
      <w:docPartObj>
        <w:docPartGallery w:val="Page Numbers (Bottom of Page)"/>
        <w:docPartUnique/>
      </w:docPartObj>
    </w:sdtPr>
    <w:sdtEndPr/>
    <w:sdtContent>
      <w:p w14:paraId="04618C7A" w14:textId="4C8B6A0A" w:rsidR="00333740" w:rsidRDefault="00333740">
        <w:pPr>
          <w:pStyle w:val="Pieddepage"/>
          <w:jc w:val="right"/>
        </w:pPr>
        <w:r>
          <w:fldChar w:fldCharType="begin"/>
        </w:r>
        <w:r>
          <w:instrText>PAGE   \* MERGEFORMAT</w:instrText>
        </w:r>
        <w:r>
          <w:fldChar w:fldCharType="separate"/>
        </w:r>
        <w:r>
          <w:t>2</w:t>
        </w:r>
        <w:r>
          <w:fldChar w:fldCharType="end"/>
        </w:r>
      </w:p>
    </w:sdtContent>
  </w:sdt>
  <w:p w14:paraId="5EDE8356" w14:textId="77777777" w:rsidR="00333740" w:rsidRDefault="003337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0907" w14:textId="77777777" w:rsidR="00245F64" w:rsidRDefault="00245F64" w:rsidP="00245F64">
      <w:r>
        <w:separator/>
      </w:r>
    </w:p>
  </w:footnote>
  <w:footnote w:type="continuationSeparator" w:id="0">
    <w:p w14:paraId="180851FE" w14:textId="77777777" w:rsidR="00245F64" w:rsidRDefault="00245F64" w:rsidP="0024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5256" w14:textId="77777777" w:rsidR="007E4E8A" w:rsidRDefault="003E2030">
    <w:pPr>
      <w:pStyle w:val="En-tte"/>
    </w:pPr>
    <w:r>
      <w:t xml:space="preserve">                </w:t>
    </w:r>
  </w:p>
  <w:tbl>
    <w:tblPr>
      <w:tblW w:w="11280" w:type="dxa"/>
      <w:tblInd w:w="-426" w:type="dxa"/>
      <w:tblLayout w:type="fixed"/>
      <w:tblLook w:val="01E0" w:firstRow="1" w:lastRow="1" w:firstColumn="1" w:lastColumn="1" w:noHBand="0" w:noVBand="0"/>
    </w:tblPr>
    <w:tblGrid>
      <w:gridCol w:w="2498"/>
      <w:gridCol w:w="8782"/>
    </w:tblGrid>
    <w:tr w:rsidR="007E4E8A" w14:paraId="146237A7" w14:textId="77777777" w:rsidTr="007E4E8A">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7E4E8A" w14:paraId="27D8D559" w14:textId="77777777">
            <w:trPr>
              <w:trHeight w:val="904"/>
            </w:trPr>
            <w:tc>
              <w:tcPr>
                <w:tcW w:w="2498" w:type="dxa"/>
                <w:hideMark/>
              </w:tcPr>
              <w:p w14:paraId="60973836" w14:textId="098407A7" w:rsidR="007E4E8A" w:rsidRDefault="007E4E8A" w:rsidP="007E4E8A">
                <w:pPr>
                  <w:ind w:left="1024"/>
                  <w:rPr>
                    <w:b/>
                    <w:i/>
                  </w:rPr>
                </w:pPr>
                <w:r>
                  <w:rPr>
                    <w:noProof/>
                  </w:rPr>
                  <w:drawing>
                    <wp:inline distT="0" distB="0" distL="0" distR="0" wp14:anchorId="135C8CEE" wp14:editId="6592CD32">
                      <wp:extent cx="866775" cy="571500"/>
                      <wp:effectExtent l="0" t="0" r="9525" b="0"/>
                      <wp:docPr id="7" name="Image 7"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71500"/>
                              </a:xfrm>
                              <a:prstGeom prst="rect">
                                <a:avLst/>
                              </a:prstGeom>
                              <a:noFill/>
                              <a:ln>
                                <a:noFill/>
                              </a:ln>
                            </pic:spPr>
                          </pic:pic>
                        </a:graphicData>
                      </a:graphic>
                    </wp:inline>
                  </w:drawing>
                </w:r>
              </w:p>
            </w:tc>
            <w:tc>
              <w:tcPr>
                <w:tcW w:w="8781" w:type="dxa"/>
                <w:hideMark/>
              </w:tcPr>
              <w:p w14:paraId="245460D6" w14:textId="77777777" w:rsidR="007E4E8A" w:rsidRDefault="007E4E8A" w:rsidP="007E4E8A">
                <w:pPr>
                  <w:ind w:left="1024"/>
                  <w:rPr>
                    <w:b/>
                  </w:rPr>
                </w:pPr>
                <w:r>
                  <w:rPr>
                    <w:b/>
                  </w:rPr>
                  <w:t>COMITE SOCIAL TERRITORIAL DEPARTEMENTAL</w:t>
                </w:r>
              </w:p>
              <w:p w14:paraId="5413B6D3" w14:textId="77777777" w:rsidR="007E4E8A" w:rsidRDefault="007E4E8A" w:rsidP="007E4E8A">
                <w:pPr>
                  <w:ind w:left="1024"/>
                  <w:rPr>
                    <w:sz w:val="18"/>
                    <w:szCs w:val="18"/>
                  </w:rPr>
                </w:pPr>
                <w:r>
                  <w:rPr>
                    <w:sz w:val="18"/>
                    <w:szCs w:val="18"/>
                  </w:rPr>
                  <w:t>CENTRE DE GESTION DE L’AVEYRON</w:t>
                </w:r>
              </w:p>
              <w:p w14:paraId="1359A8A1" w14:textId="77777777" w:rsidR="007E4E8A" w:rsidRDefault="007E4E8A" w:rsidP="007E4E8A">
                <w:pPr>
                  <w:ind w:left="1024"/>
                  <w:rPr>
                    <w:sz w:val="18"/>
                    <w:szCs w:val="18"/>
                  </w:rPr>
                </w:pPr>
                <w:r>
                  <w:rPr>
                    <w:sz w:val="18"/>
                    <w:szCs w:val="18"/>
                  </w:rPr>
                  <w:t>Immeuble Le Sérial – 10 rue Faubourg Lo Barry – Saint-Cyrice Etoile - 12000 RODEZ</w:t>
                </w:r>
              </w:p>
              <w:p w14:paraId="71A6D225" w14:textId="77777777" w:rsidR="007E4E8A" w:rsidRDefault="007E4E8A" w:rsidP="007E4E8A">
                <w:pPr>
                  <w:ind w:left="1024"/>
                  <w:rPr>
                    <w:bCs/>
                    <w:sz w:val="18"/>
                    <w:szCs w:val="18"/>
                  </w:rPr>
                </w:pPr>
                <w:r>
                  <w:rPr>
                    <w:bCs/>
                    <w:sz w:val="18"/>
                    <w:szCs w:val="18"/>
                  </w:rPr>
                  <w:t>Tél : 05 65 73 02 57 (ligne directe) – romain.bouat@cdg-12.fr</w:t>
                </w:r>
              </w:p>
            </w:tc>
          </w:tr>
        </w:tbl>
        <w:p w14:paraId="447D6D35" w14:textId="77777777" w:rsidR="007E4E8A" w:rsidRDefault="007E4E8A" w:rsidP="007E4E8A">
          <w:pPr>
            <w:ind w:left="1024"/>
            <w:rPr>
              <w:sz w:val="20"/>
              <w:szCs w:val="20"/>
              <w:lang w:eastAsia="fr-FR"/>
            </w:rPr>
          </w:pPr>
        </w:p>
      </w:tc>
      <w:tc>
        <w:tcPr>
          <w:tcW w:w="8782" w:type="dxa"/>
          <w:hideMark/>
        </w:tcPr>
        <w:p w14:paraId="1AD354BC" w14:textId="77777777" w:rsidR="007E4E8A" w:rsidRDefault="007E4E8A" w:rsidP="007E4E8A">
          <w:pPr>
            <w:ind w:left="1024"/>
            <w:rPr>
              <w:b/>
            </w:rPr>
          </w:pPr>
          <w:r>
            <w:rPr>
              <w:b/>
            </w:rPr>
            <w:t>COMITE SOCIAL TERRITORIAL DEPARTEMENTAL</w:t>
          </w:r>
        </w:p>
        <w:p w14:paraId="386678E7" w14:textId="77777777" w:rsidR="007E4E8A" w:rsidRDefault="007E4E8A" w:rsidP="007E4E8A">
          <w:pPr>
            <w:ind w:left="1024"/>
            <w:rPr>
              <w:sz w:val="18"/>
              <w:szCs w:val="18"/>
            </w:rPr>
          </w:pPr>
          <w:r>
            <w:rPr>
              <w:sz w:val="18"/>
              <w:szCs w:val="18"/>
            </w:rPr>
            <w:t>CENTRE DE GESTION DE L’AVEYRON</w:t>
          </w:r>
        </w:p>
        <w:p w14:paraId="4E391022" w14:textId="77777777" w:rsidR="007E4E8A" w:rsidRDefault="007E4E8A" w:rsidP="007E4E8A">
          <w:pPr>
            <w:ind w:left="1024"/>
            <w:rPr>
              <w:sz w:val="18"/>
              <w:szCs w:val="18"/>
            </w:rPr>
          </w:pPr>
          <w:r>
            <w:rPr>
              <w:sz w:val="18"/>
              <w:szCs w:val="18"/>
            </w:rPr>
            <w:t>Immeuble Le Sérial – 10 rue Faubourg Lo Barry – Saint-Cyrice Etoile - 12000 RODEZ</w:t>
          </w:r>
        </w:p>
        <w:p w14:paraId="7E2CB680" w14:textId="77777777" w:rsidR="007E4E8A" w:rsidRDefault="007E4E8A" w:rsidP="007E4E8A">
          <w:pPr>
            <w:ind w:left="1024"/>
            <w:rPr>
              <w:bCs/>
              <w:sz w:val="18"/>
              <w:szCs w:val="18"/>
            </w:rPr>
          </w:pPr>
          <w:r>
            <w:rPr>
              <w:bCs/>
              <w:sz w:val="18"/>
              <w:szCs w:val="18"/>
            </w:rPr>
            <w:t>Tél : 05 65 73 02 57 (ligne directe) – romain.bouat@cdg-12.fr</w:t>
          </w:r>
        </w:p>
      </w:tc>
    </w:tr>
  </w:tbl>
  <w:p w14:paraId="6A769058" w14:textId="24FAF31C" w:rsidR="00333740" w:rsidRDefault="003337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7AA"/>
    <w:multiLevelType w:val="hybridMultilevel"/>
    <w:tmpl w:val="96F0F11E"/>
    <w:lvl w:ilvl="0" w:tplc="EAA68214">
      <w:numFmt w:val="bullet"/>
      <w:lvlText w:val="-"/>
      <w:lvlJc w:val="left"/>
      <w:pPr>
        <w:ind w:left="1211" w:hanging="360"/>
      </w:pPr>
      <w:rPr>
        <w:rFonts w:ascii="Verdana" w:eastAsiaTheme="minorHAnsi" w:hAnsi="Verdana" w:cs="Verdana" w:hint="default"/>
        <w:color w:val="000000"/>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5440545B"/>
    <w:multiLevelType w:val="hybridMultilevel"/>
    <w:tmpl w:val="E5E8B046"/>
    <w:lvl w:ilvl="0" w:tplc="F262455C">
      <w:numFmt w:val="bullet"/>
      <w:lvlText w:val=""/>
      <w:lvlJc w:val="left"/>
      <w:pPr>
        <w:ind w:left="3933" w:hanging="348"/>
      </w:pPr>
      <w:rPr>
        <w:rFonts w:ascii="Wingdings" w:eastAsia="Wingdings" w:hAnsi="Wingdings" w:cs="Wingdings" w:hint="default"/>
        <w:w w:val="100"/>
        <w:sz w:val="24"/>
        <w:szCs w:val="24"/>
        <w:lang w:val="fr-FR" w:eastAsia="en-US" w:bidi="ar-SA"/>
      </w:rPr>
    </w:lvl>
    <w:lvl w:ilvl="1" w:tplc="36862D60">
      <w:numFmt w:val="bullet"/>
      <w:lvlText w:val="•"/>
      <w:lvlJc w:val="left"/>
      <w:pPr>
        <w:ind w:left="4700" w:hanging="348"/>
      </w:pPr>
      <w:rPr>
        <w:rFonts w:hint="default"/>
        <w:lang w:val="fr-FR" w:eastAsia="en-US" w:bidi="ar-SA"/>
      </w:rPr>
    </w:lvl>
    <w:lvl w:ilvl="2" w:tplc="0B2E614E">
      <w:numFmt w:val="bullet"/>
      <w:lvlText w:val="•"/>
      <w:lvlJc w:val="left"/>
      <w:pPr>
        <w:ind w:left="5461" w:hanging="348"/>
      </w:pPr>
      <w:rPr>
        <w:rFonts w:hint="default"/>
        <w:lang w:val="fr-FR" w:eastAsia="en-US" w:bidi="ar-SA"/>
      </w:rPr>
    </w:lvl>
    <w:lvl w:ilvl="3" w:tplc="7F02E6A0">
      <w:numFmt w:val="bullet"/>
      <w:lvlText w:val="•"/>
      <w:lvlJc w:val="left"/>
      <w:pPr>
        <w:ind w:left="6221" w:hanging="348"/>
      </w:pPr>
      <w:rPr>
        <w:rFonts w:hint="default"/>
        <w:lang w:val="fr-FR" w:eastAsia="en-US" w:bidi="ar-SA"/>
      </w:rPr>
    </w:lvl>
    <w:lvl w:ilvl="4" w:tplc="458ECB2A">
      <w:numFmt w:val="bullet"/>
      <w:lvlText w:val="•"/>
      <w:lvlJc w:val="left"/>
      <w:pPr>
        <w:ind w:left="6982" w:hanging="348"/>
      </w:pPr>
      <w:rPr>
        <w:rFonts w:hint="default"/>
        <w:lang w:val="fr-FR" w:eastAsia="en-US" w:bidi="ar-SA"/>
      </w:rPr>
    </w:lvl>
    <w:lvl w:ilvl="5" w:tplc="A4FE0DB8">
      <w:numFmt w:val="bullet"/>
      <w:lvlText w:val="•"/>
      <w:lvlJc w:val="left"/>
      <w:pPr>
        <w:ind w:left="7743" w:hanging="348"/>
      </w:pPr>
      <w:rPr>
        <w:rFonts w:hint="default"/>
        <w:lang w:val="fr-FR" w:eastAsia="en-US" w:bidi="ar-SA"/>
      </w:rPr>
    </w:lvl>
    <w:lvl w:ilvl="6" w:tplc="BE54205A">
      <w:numFmt w:val="bullet"/>
      <w:lvlText w:val="•"/>
      <w:lvlJc w:val="left"/>
      <w:pPr>
        <w:ind w:left="8503" w:hanging="348"/>
      </w:pPr>
      <w:rPr>
        <w:rFonts w:hint="default"/>
        <w:lang w:val="fr-FR" w:eastAsia="en-US" w:bidi="ar-SA"/>
      </w:rPr>
    </w:lvl>
    <w:lvl w:ilvl="7" w:tplc="679C60FE">
      <w:numFmt w:val="bullet"/>
      <w:lvlText w:val="•"/>
      <w:lvlJc w:val="left"/>
      <w:pPr>
        <w:ind w:left="9264" w:hanging="348"/>
      </w:pPr>
      <w:rPr>
        <w:rFonts w:hint="default"/>
        <w:lang w:val="fr-FR" w:eastAsia="en-US" w:bidi="ar-SA"/>
      </w:rPr>
    </w:lvl>
    <w:lvl w:ilvl="8" w:tplc="634E4208">
      <w:numFmt w:val="bullet"/>
      <w:lvlText w:val="•"/>
      <w:lvlJc w:val="left"/>
      <w:pPr>
        <w:ind w:left="10025" w:hanging="348"/>
      </w:pPr>
      <w:rPr>
        <w:rFonts w:hint="default"/>
        <w:lang w:val="fr-FR" w:eastAsia="en-US" w:bidi="ar-SA"/>
      </w:rPr>
    </w:lvl>
  </w:abstractNum>
  <w:num w:numId="1" w16cid:durableId="1055735159">
    <w:abstractNumId w:val="1"/>
  </w:num>
  <w:num w:numId="2" w16cid:durableId="119557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F1"/>
    <w:rsid w:val="000B6789"/>
    <w:rsid w:val="00222050"/>
    <w:rsid w:val="00237A95"/>
    <w:rsid w:val="00245F64"/>
    <w:rsid w:val="002A3F79"/>
    <w:rsid w:val="00333740"/>
    <w:rsid w:val="003C10CF"/>
    <w:rsid w:val="003E2030"/>
    <w:rsid w:val="00463CD9"/>
    <w:rsid w:val="00480CF1"/>
    <w:rsid w:val="0065378E"/>
    <w:rsid w:val="00785A48"/>
    <w:rsid w:val="007E4E8A"/>
    <w:rsid w:val="008B2A67"/>
    <w:rsid w:val="00A22E18"/>
    <w:rsid w:val="00A75A78"/>
    <w:rsid w:val="00B05E12"/>
    <w:rsid w:val="00BD183E"/>
    <w:rsid w:val="00BD55D8"/>
    <w:rsid w:val="00D14466"/>
    <w:rsid w:val="00DC4070"/>
    <w:rsid w:val="00E833AE"/>
    <w:rsid w:val="00EC497C"/>
    <w:rsid w:val="00F52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D483E7"/>
  <w15:docId w15:val="{4CB35D0A-20A9-4E7D-8896-5959356D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15"/>
      <w:outlineLvl w:val="0"/>
    </w:pPr>
    <w:rPr>
      <w:b/>
      <w:bCs/>
      <w:sz w:val="24"/>
      <w:szCs w:val="24"/>
      <w:u w:val="single" w:color="000000"/>
    </w:rPr>
  </w:style>
  <w:style w:type="paragraph" w:styleId="Titre2">
    <w:name w:val="heading 2"/>
    <w:basedOn w:val="Normal"/>
    <w:link w:val="Titre2Car"/>
    <w:uiPriority w:val="9"/>
    <w:unhideWhenUsed/>
    <w:qFormat/>
    <w:pPr>
      <w:ind w:left="215"/>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57"/>
      <w:ind w:left="3741" w:right="1136" w:hanging="1536"/>
    </w:pPr>
    <w:rPr>
      <w:b/>
      <w:bCs/>
      <w:sz w:val="28"/>
      <w:szCs w:val="28"/>
    </w:rPr>
  </w:style>
  <w:style w:type="paragraph" w:styleId="Paragraphedeliste">
    <w:name w:val="List Paragraph"/>
    <w:basedOn w:val="Normal"/>
    <w:uiPriority w:val="1"/>
    <w:qFormat/>
    <w:pPr>
      <w:ind w:left="3933"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5F64"/>
    <w:pPr>
      <w:tabs>
        <w:tab w:val="center" w:pos="4536"/>
        <w:tab w:val="right" w:pos="9072"/>
      </w:tabs>
    </w:pPr>
  </w:style>
  <w:style w:type="character" w:customStyle="1" w:styleId="En-tteCar">
    <w:name w:val="En-tête Car"/>
    <w:basedOn w:val="Policepardfaut"/>
    <w:link w:val="En-tte"/>
    <w:uiPriority w:val="99"/>
    <w:rsid w:val="00245F64"/>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5F64"/>
    <w:pPr>
      <w:tabs>
        <w:tab w:val="center" w:pos="4536"/>
        <w:tab w:val="right" w:pos="9072"/>
      </w:tabs>
    </w:pPr>
  </w:style>
  <w:style w:type="character" w:customStyle="1" w:styleId="PieddepageCar">
    <w:name w:val="Pied de page Car"/>
    <w:basedOn w:val="Policepardfaut"/>
    <w:link w:val="Pieddepage"/>
    <w:uiPriority w:val="99"/>
    <w:rsid w:val="00245F64"/>
    <w:rPr>
      <w:rFonts w:ascii="Times New Roman" w:eastAsia="Times New Roman" w:hAnsi="Times New Roman" w:cs="Times New Roman"/>
      <w:lang w:val="fr-FR"/>
    </w:rPr>
  </w:style>
  <w:style w:type="character" w:styleId="Lienhypertexte">
    <w:name w:val="Hyperlink"/>
    <w:rsid w:val="00245F64"/>
    <w:rPr>
      <w:color w:val="0000FF"/>
      <w:u w:val="single"/>
    </w:rPr>
  </w:style>
  <w:style w:type="paragraph" w:customStyle="1" w:styleId="Default">
    <w:name w:val="Default"/>
    <w:rsid w:val="000B6789"/>
    <w:pPr>
      <w:widowControl/>
      <w:adjustRightInd w:val="0"/>
    </w:pPr>
    <w:rPr>
      <w:rFonts w:ascii="Verdana" w:hAnsi="Verdana" w:cs="Verdana"/>
      <w:color w:val="000000"/>
      <w:sz w:val="24"/>
      <w:szCs w:val="24"/>
      <w:lang w:val="fr-FR"/>
    </w:rPr>
  </w:style>
  <w:style w:type="paragraph" w:styleId="Sansinterligne">
    <w:name w:val="No Spacing"/>
    <w:uiPriority w:val="1"/>
    <w:qFormat/>
    <w:rsid w:val="00EC497C"/>
    <w:pPr>
      <w:widowControl/>
      <w:autoSpaceDE/>
      <w:autoSpaceDN/>
    </w:pPr>
    <w:rPr>
      <w:rFonts w:ascii="Times New Roman" w:eastAsia="Times New Roman" w:hAnsi="Times New Roman" w:cs="Times New Roman"/>
      <w:sz w:val="20"/>
      <w:szCs w:val="20"/>
      <w:lang w:val="fr-FR" w:eastAsia="fr-FR"/>
    </w:rPr>
  </w:style>
  <w:style w:type="character" w:customStyle="1" w:styleId="Titre2Car">
    <w:name w:val="Titre 2 Car"/>
    <w:basedOn w:val="Policepardfaut"/>
    <w:link w:val="Titre2"/>
    <w:uiPriority w:val="9"/>
    <w:rsid w:val="00EC497C"/>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00353">
      <w:bodyDiv w:val="1"/>
      <w:marLeft w:val="0"/>
      <w:marRight w:val="0"/>
      <w:marTop w:val="0"/>
      <w:marBottom w:val="0"/>
      <w:divBdr>
        <w:top w:val="none" w:sz="0" w:space="0" w:color="auto"/>
        <w:left w:val="none" w:sz="0" w:space="0" w:color="auto"/>
        <w:bottom w:val="none" w:sz="0" w:space="0" w:color="auto"/>
        <w:right w:val="none" w:sz="0" w:space="0" w:color="auto"/>
      </w:divBdr>
    </w:div>
    <w:div w:id="691996147">
      <w:bodyDiv w:val="1"/>
      <w:marLeft w:val="0"/>
      <w:marRight w:val="0"/>
      <w:marTop w:val="0"/>
      <w:marBottom w:val="0"/>
      <w:divBdr>
        <w:top w:val="none" w:sz="0" w:space="0" w:color="auto"/>
        <w:left w:val="none" w:sz="0" w:space="0" w:color="auto"/>
        <w:bottom w:val="none" w:sz="0" w:space="0" w:color="auto"/>
        <w:right w:val="none" w:sz="0" w:space="0" w:color="auto"/>
      </w:divBdr>
    </w:div>
    <w:div w:id="732242988">
      <w:bodyDiv w:val="1"/>
      <w:marLeft w:val="0"/>
      <w:marRight w:val="0"/>
      <w:marTop w:val="0"/>
      <w:marBottom w:val="0"/>
      <w:divBdr>
        <w:top w:val="none" w:sz="0" w:space="0" w:color="auto"/>
        <w:left w:val="none" w:sz="0" w:space="0" w:color="auto"/>
        <w:bottom w:val="none" w:sz="0" w:space="0" w:color="auto"/>
        <w:right w:val="none" w:sz="0" w:space="0" w:color="auto"/>
      </w:divBdr>
    </w:div>
    <w:div w:id="855459008">
      <w:bodyDiv w:val="1"/>
      <w:marLeft w:val="0"/>
      <w:marRight w:val="0"/>
      <w:marTop w:val="0"/>
      <w:marBottom w:val="0"/>
      <w:divBdr>
        <w:top w:val="none" w:sz="0" w:space="0" w:color="auto"/>
        <w:left w:val="none" w:sz="0" w:space="0" w:color="auto"/>
        <w:bottom w:val="none" w:sz="0" w:space="0" w:color="auto"/>
        <w:right w:val="none" w:sz="0" w:space="0" w:color="auto"/>
      </w:divBdr>
    </w:div>
    <w:div w:id="882520999">
      <w:bodyDiv w:val="1"/>
      <w:marLeft w:val="0"/>
      <w:marRight w:val="0"/>
      <w:marTop w:val="0"/>
      <w:marBottom w:val="0"/>
      <w:divBdr>
        <w:top w:val="none" w:sz="0" w:space="0" w:color="auto"/>
        <w:left w:val="none" w:sz="0" w:space="0" w:color="auto"/>
        <w:bottom w:val="none" w:sz="0" w:space="0" w:color="auto"/>
        <w:right w:val="none" w:sz="0" w:space="0" w:color="auto"/>
      </w:divBdr>
    </w:div>
    <w:div w:id="919296301">
      <w:bodyDiv w:val="1"/>
      <w:marLeft w:val="0"/>
      <w:marRight w:val="0"/>
      <w:marTop w:val="0"/>
      <w:marBottom w:val="0"/>
      <w:divBdr>
        <w:top w:val="none" w:sz="0" w:space="0" w:color="auto"/>
        <w:left w:val="none" w:sz="0" w:space="0" w:color="auto"/>
        <w:bottom w:val="none" w:sz="0" w:space="0" w:color="auto"/>
        <w:right w:val="none" w:sz="0" w:space="0" w:color="auto"/>
      </w:divBdr>
    </w:div>
    <w:div w:id="1066145067">
      <w:bodyDiv w:val="1"/>
      <w:marLeft w:val="0"/>
      <w:marRight w:val="0"/>
      <w:marTop w:val="0"/>
      <w:marBottom w:val="0"/>
      <w:divBdr>
        <w:top w:val="none" w:sz="0" w:space="0" w:color="auto"/>
        <w:left w:val="none" w:sz="0" w:space="0" w:color="auto"/>
        <w:bottom w:val="none" w:sz="0" w:space="0" w:color="auto"/>
        <w:right w:val="none" w:sz="0" w:space="0" w:color="auto"/>
      </w:divBdr>
    </w:div>
    <w:div w:id="1238326381">
      <w:bodyDiv w:val="1"/>
      <w:marLeft w:val="0"/>
      <w:marRight w:val="0"/>
      <w:marTop w:val="0"/>
      <w:marBottom w:val="0"/>
      <w:divBdr>
        <w:top w:val="none" w:sz="0" w:space="0" w:color="auto"/>
        <w:left w:val="none" w:sz="0" w:space="0" w:color="auto"/>
        <w:bottom w:val="none" w:sz="0" w:space="0" w:color="auto"/>
        <w:right w:val="none" w:sz="0" w:space="0" w:color="auto"/>
      </w:divBdr>
    </w:div>
    <w:div w:id="1480883306">
      <w:bodyDiv w:val="1"/>
      <w:marLeft w:val="0"/>
      <w:marRight w:val="0"/>
      <w:marTop w:val="0"/>
      <w:marBottom w:val="0"/>
      <w:divBdr>
        <w:top w:val="none" w:sz="0" w:space="0" w:color="auto"/>
        <w:left w:val="none" w:sz="0" w:space="0" w:color="auto"/>
        <w:bottom w:val="none" w:sz="0" w:space="0" w:color="auto"/>
        <w:right w:val="none" w:sz="0" w:space="0" w:color="auto"/>
      </w:divBdr>
    </w:div>
    <w:div w:id="1792747440">
      <w:bodyDiv w:val="1"/>
      <w:marLeft w:val="0"/>
      <w:marRight w:val="0"/>
      <w:marTop w:val="0"/>
      <w:marBottom w:val="0"/>
      <w:divBdr>
        <w:top w:val="none" w:sz="0" w:space="0" w:color="auto"/>
        <w:left w:val="none" w:sz="0" w:space="0" w:color="auto"/>
        <w:bottom w:val="none" w:sz="0" w:space="0" w:color="auto"/>
        <w:right w:val="none" w:sz="0" w:space="0" w:color="auto"/>
      </w:divBdr>
    </w:div>
    <w:div w:id="203295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1119498/2025-05-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in.bouat@cdg-12.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60697-EF30-49B5-9549-AD5AB0A6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Microsoft Word - Saisine CT Compte Epargne Temps.doc</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Saisine CT Compte Epargne Temps.doc</dc:title>
  <dc:creator>accueil2</dc:creator>
  <cp:lastModifiedBy>Romain Bouat</cp:lastModifiedBy>
  <cp:revision>12</cp:revision>
  <dcterms:created xsi:type="dcterms:W3CDTF">2022-11-30T16:10:00Z</dcterms:created>
  <dcterms:modified xsi:type="dcterms:W3CDTF">2025-07-23T09:43:00Z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2022-09-16T00:00:00Z</vt:filetime>
  </property>
</Properties>
</file>